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15DA" w14:textId="10EB42AA" w:rsidR="002A642E" w:rsidRDefault="002A642E">
      <w:pPr>
        <w:jc w:val="right"/>
        <w:rPr>
          <w:rFonts w:cs="Arial"/>
          <w:color w:val="006600"/>
          <w:szCs w:val="24"/>
          <w:rtl/>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tblGrid>
      <w:tr w:rsidR="002A642E" w:rsidRPr="006F245B" w14:paraId="30CA15DC" w14:textId="77777777" w:rsidTr="00E111DA">
        <w:trPr>
          <w:trHeight w:val="402"/>
        </w:trPr>
        <w:tc>
          <w:tcPr>
            <w:tcW w:w="14742" w:type="dxa"/>
            <w:tcBorders>
              <w:top w:val="nil"/>
              <w:left w:val="nil"/>
              <w:bottom w:val="nil"/>
              <w:right w:val="nil"/>
            </w:tcBorders>
            <w:shd w:val="clear" w:color="auto" w:fill="008000"/>
            <w:vAlign w:val="center"/>
          </w:tcPr>
          <w:p w14:paraId="30CA15DB" w14:textId="4F7E5982" w:rsidR="002A642E" w:rsidRDefault="004C3A6F" w:rsidP="00BF7BE6">
            <w:pPr>
              <w:autoSpaceDE w:val="0"/>
              <w:autoSpaceDN w:val="0"/>
              <w:adjustRightInd w:val="0"/>
              <w:spacing w:line="280" w:lineRule="auto"/>
              <w:rPr>
                <w:szCs w:val="24"/>
                <w:lang w:val="fr-FR"/>
              </w:rPr>
            </w:pPr>
            <w:r>
              <w:rPr>
                <w:rFonts w:ascii="Arial Narrow" w:hAnsi="Arial Narrow"/>
                <w:b/>
                <w:color w:val="FFFFFF"/>
                <w:sz w:val="28"/>
                <w:szCs w:val="24"/>
                <w:lang w:val="fr-FR"/>
              </w:rPr>
              <w:t xml:space="preserve">Check-list des obligations </w:t>
            </w:r>
            <w:r w:rsidRPr="001272E5">
              <w:rPr>
                <w:rFonts w:ascii="Arial Narrow" w:hAnsi="Arial Narrow"/>
                <w:b/>
                <w:color w:val="FFFFFF" w:themeColor="background1"/>
                <w:sz w:val="28"/>
                <w:szCs w:val="24"/>
                <w:lang w:val="fr-FR"/>
              </w:rPr>
              <w:t>D</w:t>
            </w:r>
            <w:r w:rsidR="002A642E" w:rsidRPr="001272E5">
              <w:rPr>
                <w:rFonts w:ascii="Arial Narrow" w:hAnsi="Arial Narrow"/>
                <w:b/>
                <w:color w:val="FFFFFF" w:themeColor="background1"/>
                <w:sz w:val="28"/>
                <w:szCs w:val="24"/>
                <w:lang w:val="fr-FR"/>
              </w:rPr>
              <w:t>E</w:t>
            </w:r>
            <w:r w:rsidR="00BF7BE6" w:rsidRPr="001272E5">
              <w:rPr>
                <w:rFonts w:ascii="Arial Narrow" w:hAnsi="Arial Narrow"/>
                <w:b/>
                <w:color w:val="FFFFFF" w:themeColor="background1"/>
                <w:sz w:val="28"/>
                <w:szCs w:val="24"/>
                <w:lang w:val="fr-FR"/>
              </w:rPr>
              <w:t>A</w:t>
            </w:r>
          </w:p>
        </w:tc>
      </w:tr>
    </w:tbl>
    <w:p w14:paraId="30CA15DD" w14:textId="77777777" w:rsidR="002A642E" w:rsidRDefault="002A642E">
      <w:pPr>
        <w:spacing w:before="120" w:after="120"/>
        <w:rPr>
          <w:b/>
          <w:szCs w:val="24"/>
          <w:u w:val="single"/>
          <w:lang w:val="fr-F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6662"/>
        <w:gridCol w:w="1247"/>
        <w:gridCol w:w="2689"/>
      </w:tblGrid>
      <w:tr w:rsidR="00EE4C0D" w14:paraId="30CA15E2" w14:textId="77777777" w:rsidTr="00EE4C0D">
        <w:trPr>
          <w:cantSplit/>
        </w:trPr>
        <w:tc>
          <w:tcPr>
            <w:tcW w:w="4252" w:type="dxa"/>
          </w:tcPr>
          <w:p w14:paraId="30CA15DE" w14:textId="77777777" w:rsidR="00EE4C0D" w:rsidRDefault="00EE4C0D">
            <w:pPr>
              <w:jc w:val="center"/>
              <w:rPr>
                <w:szCs w:val="24"/>
                <w:lang w:val="fr-FR"/>
              </w:rPr>
            </w:pPr>
            <w:r>
              <w:rPr>
                <w:b/>
                <w:color w:val="008000"/>
                <w:sz w:val="24"/>
                <w:szCs w:val="24"/>
                <w:lang w:val="fr-FR"/>
              </w:rPr>
              <w:t>Mise à disposition et étiquetage</w:t>
            </w:r>
          </w:p>
        </w:tc>
        <w:tc>
          <w:tcPr>
            <w:tcW w:w="6662" w:type="dxa"/>
          </w:tcPr>
          <w:p w14:paraId="30CA15DF" w14:textId="77777777" w:rsidR="00EE4C0D" w:rsidRDefault="00EE4C0D">
            <w:pPr>
              <w:jc w:val="center"/>
              <w:rPr>
                <w:rFonts w:cs="Arial"/>
                <w:szCs w:val="24"/>
                <w:rtl/>
              </w:rPr>
            </w:pPr>
            <w:r>
              <w:rPr>
                <w:b/>
                <w:color w:val="008000"/>
                <w:sz w:val="24"/>
                <w:szCs w:val="24"/>
                <w:lang w:val="fr-FR"/>
              </w:rPr>
              <w:t>Réglementation* et/ou explication</w:t>
            </w:r>
          </w:p>
        </w:tc>
        <w:tc>
          <w:tcPr>
            <w:tcW w:w="1247" w:type="dxa"/>
          </w:tcPr>
          <w:p w14:paraId="30CA15E0" w14:textId="77777777" w:rsidR="00EE4C0D" w:rsidRDefault="00EE4C0D">
            <w:pPr>
              <w:jc w:val="center"/>
              <w:rPr>
                <w:b/>
                <w:color w:val="008000"/>
                <w:sz w:val="24"/>
                <w:szCs w:val="24"/>
                <w:lang w:val="fr-FR"/>
              </w:rPr>
            </w:pPr>
            <w:r>
              <w:rPr>
                <w:b/>
                <w:color w:val="008000"/>
                <w:sz w:val="24"/>
                <w:szCs w:val="24"/>
                <w:lang w:val="fr-FR"/>
              </w:rPr>
              <w:t>OK/NOK</w:t>
            </w:r>
          </w:p>
        </w:tc>
        <w:tc>
          <w:tcPr>
            <w:tcW w:w="2689" w:type="dxa"/>
          </w:tcPr>
          <w:p w14:paraId="30CA15E1" w14:textId="77777777" w:rsidR="00EE4C0D" w:rsidRDefault="00EE4C0D">
            <w:pPr>
              <w:jc w:val="center"/>
              <w:rPr>
                <w:b/>
                <w:color w:val="008000"/>
                <w:sz w:val="24"/>
                <w:szCs w:val="24"/>
                <w:lang w:val="fr-FR"/>
              </w:rPr>
            </w:pPr>
            <w:r>
              <w:rPr>
                <w:b/>
                <w:color w:val="008000"/>
                <w:sz w:val="24"/>
                <w:szCs w:val="24"/>
                <w:lang w:val="fr-FR"/>
              </w:rPr>
              <w:t>Remarque</w:t>
            </w:r>
          </w:p>
        </w:tc>
      </w:tr>
      <w:tr w:rsidR="00EE4C0D" w:rsidRPr="006F245B" w14:paraId="30CA15E7" w14:textId="77777777" w:rsidTr="00EE4C0D">
        <w:trPr>
          <w:cantSplit/>
        </w:trPr>
        <w:tc>
          <w:tcPr>
            <w:tcW w:w="4252" w:type="dxa"/>
          </w:tcPr>
          <w:p w14:paraId="30CA15E3" w14:textId="05217A1D" w:rsidR="00EE4C0D" w:rsidRDefault="00EE4C0D">
            <w:pPr>
              <w:spacing w:before="40" w:after="40" w:line="280" w:lineRule="auto"/>
              <w:rPr>
                <w:szCs w:val="24"/>
                <w:lang w:val="fr-FR"/>
              </w:rPr>
            </w:pPr>
            <w:r>
              <w:rPr>
                <w:b/>
                <w:sz w:val="20"/>
                <w:szCs w:val="24"/>
                <w:lang w:val="fr-FR"/>
              </w:rPr>
              <w:t xml:space="preserve">1. </w:t>
            </w:r>
            <w:r>
              <w:rPr>
                <w:sz w:val="20"/>
                <w:szCs w:val="24"/>
                <w:lang w:val="fr-FR"/>
              </w:rPr>
              <w:t>Le formulaire de notification a-t-il été complété et remis aux autorités?</w:t>
            </w:r>
          </w:p>
        </w:tc>
        <w:tc>
          <w:tcPr>
            <w:tcW w:w="6662" w:type="dxa"/>
          </w:tcPr>
          <w:p w14:paraId="30CA15E4" w14:textId="61D2169E" w:rsidR="00EE4C0D" w:rsidRDefault="00EE4C0D" w:rsidP="00BF7BE6">
            <w:pPr>
              <w:spacing w:before="40" w:after="40" w:line="280" w:lineRule="auto"/>
              <w:rPr>
                <w:szCs w:val="24"/>
                <w:lang w:val="fr-FR"/>
              </w:rPr>
            </w:pPr>
            <w:r>
              <w:rPr>
                <w:sz w:val="20"/>
                <w:szCs w:val="24"/>
                <w:lang w:val="fr-FR"/>
              </w:rPr>
              <w:t>Le formulaire de notification de mise à d</w:t>
            </w:r>
            <w:r w:rsidR="00BF7BE6">
              <w:rPr>
                <w:sz w:val="20"/>
                <w:szCs w:val="24"/>
                <w:lang w:val="fr-FR"/>
              </w:rPr>
              <w:t xml:space="preserve">isposition d’un défibrillateur </w:t>
            </w:r>
            <w:r>
              <w:rPr>
                <w:sz w:val="20"/>
                <w:szCs w:val="24"/>
                <w:lang w:val="fr-FR"/>
              </w:rPr>
              <w:t xml:space="preserve">externe </w:t>
            </w:r>
            <w:r w:rsidR="00BF7BE6">
              <w:rPr>
                <w:sz w:val="20"/>
                <w:szCs w:val="24"/>
                <w:lang w:val="fr-FR"/>
              </w:rPr>
              <w:t xml:space="preserve"> </w:t>
            </w:r>
            <w:r w:rsidR="00BF7BE6" w:rsidRPr="00893B77">
              <w:rPr>
                <w:sz w:val="20"/>
                <w:szCs w:val="24"/>
                <w:lang w:val="fr-FR"/>
              </w:rPr>
              <w:t xml:space="preserve">automatique </w:t>
            </w:r>
            <w:r w:rsidRPr="00893B77">
              <w:rPr>
                <w:sz w:val="20"/>
                <w:szCs w:val="24"/>
                <w:lang w:val="fr-FR"/>
              </w:rPr>
              <w:t>(DE</w:t>
            </w:r>
            <w:r w:rsidR="00BF7BE6" w:rsidRPr="00893B77">
              <w:rPr>
                <w:sz w:val="20"/>
                <w:szCs w:val="24"/>
                <w:lang w:val="fr-FR"/>
              </w:rPr>
              <w:t>A</w:t>
            </w:r>
            <w:r w:rsidRPr="00893B77">
              <w:rPr>
                <w:sz w:val="20"/>
                <w:szCs w:val="24"/>
                <w:lang w:val="fr-FR"/>
              </w:rPr>
              <w:t xml:space="preserve">) </w:t>
            </w:r>
            <w:r>
              <w:rPr>
                <w:sz w:val="20"/>
                <w:szCs w:val="24"/>
                <w:lang w:val="fr-FR"/>
              </w:rPr>
              <w:t xml:space="preserve">peut être téléchargé sur le site Internet du Service Public Fédéral Santé publique, Sécurité de la Chaîne alimentaire et Environnement : </w:t>
            </w:r>
            <w:hyperlink r:id="rId10" w:history="1">
              <w:r w:rsidR="00BF7BE6">
                <w:rPr>
                  <w:rStyle w:val="Hyperlink"/>
                  <w:sz w:val="20"/>
                  <w:szCs w:val="24"/>
                  <w:lang w:val="fr-FR"/>
                </w:rPr>
                <w:t>www.health.belgium.be</w:t>
              </w:r>
            </w:hyperlink>
            <w:r>
              <w:rPr>
                <w:sz w:val="20"/>
                <w:szCs w:val="24"/>
                <w:lang w:val="fr-FR"/>
              </w:rPr>
              <w:t xml:space="preserve">. Il doit être complété et remis à </w:t>
            </w:r>
            <w:smartTag w:uri="urn:schemas-microsoft-com:office:smarttags" w:element="PersonName">
              <w:smartTagPr>
                <w:attr w:name="ProductID" w:val="la Direction Générale"/>
              </w:smartTagPr>
              <w:r>
                <w:rPr>
                  <w:sz w:val="20"/>
                  <w:szCs w:val="24"/>
                  <w:lang w:val="fr-FR"/>
                </w:rPr>
                <w:t>la Direction Générale</w:t>
              </w:r>
            </w:smartTag>
            <w:r>
              <w:rPr>
                <w:sz w:val="20"/>
                <w:szCs w:val="24"/>
                <w:lang w:val="fr-FR"/>
              </w:rPr>
              <w:t xml:space="preserve"> Soins de Santé primaires et Gestion de Crise dont l'adresse figure sur le formulaire. Cet organisme attribue un numéro d'enregistrement au plus tard un mois après la réception du formulaire. Toute modification des informations doit être signalée dans un délai d’un mois.</w:t>
            </w:r>
          </w:p>
        </w:tc>
        <w:tc>
          <w:tcPr>
            <w:tcW w:w="1247" w:type="dxa"/>
          </w:tcPr>
          <w:p w14:paraId="30CA15E5" w14:textId="77777777" w:rsidR="00EE4C0D" w:rsidRDefault="00EE4C0D">
            <w:pPr>
              <w:spacing w:before="40" w:after="40" w:line="280" w:lineRule="auto"/>
              <w:rPr>
                <w:sz w:val="20"/>
                <w:szCs w:val="24"/>
                <w:lang w:val="fr-FR"/>
              </w:rPr>
            </w:pPr>
          </w:p>
        </w:tc>
        <w:tc>
          <w:tcPr>
            <w:tcW w:w="2689" w:type="dxa"/>
          </w:tcPr>
          <w:p w14:paraId="30CA15E6" w14:textId="77777777" w:rsidR="00EE4C0D" w:rsidRDefault="00EE4C0D">
            <w:pPr>
              <w:spacing w:before="40" w:after="40" w:line="280" w:lineRule="auto"/>
              <w:rPr>
                <w:sz w:val="20"/>
                <w:szCs w:val="24"/>
                <w:lang w:val="fr-FR"/>
              </w:rPr>
            </w:pPr>
          </w:p>
        </w:tc>
      </w:tr>
      <w:tr w:rsidR="00EE4C0D" w:rsidRPr="006F245B" w14:paraId="30CA15EC" w14:textId="77777777" w:rsidTr="00EE4C0D">
        <w:trPr>
          <w:cantSplit/>
        </w:trPr>
        <w:tc>
          <w:tcPr>
            <w:tcW w:w="4252" w:type="dxa"/>
          </w:tcPr>
          <w:p w14:paraId="30CA15E8" w14:textId="2D35D462" w:rsidR="00EE4C0D" w:rsidRDefault="00EE4C0D" w:rsidP="00BF7BE6">
            <w:pPr>
              <w:spacing w:before="40" w:after="40" w:line="280" w:lineRule="auto"/>
              <w:rPr>
                <w:szCs w:val="24"/>
                <w:lang w:val="fr-FR"/>
              </w:rPr>
            </w:pPr>
            <w:r>
              <w:rPr>
                <w:b/>
                <w:sz w:val="20"/>
                <w:szCs w:val="24"/>
                <w:lang w:val="fr-FR"/>
              </w:rPr>
              <w:t>2.</w:t>
            </w:r>
            <w:r>
              <w:rPr>
                <w:sz w:val="20"/>
                <w:szCs w:val="24"/>
                <w:lang w:val="fr-FR"/>
              </w:rPr>
              <w:t xml:space="preserve"> Le </w:t>
            </w:r>
            <w:r w:rsidR="00BF7BE6" w:rsidRPr="00893B77">
              <w:rPr>
                <w:sz w:val="20"/>
                <w:szCs w:val="24"/>
                <w:lang w:val="fr-FR"/>
              </w:rPr>
              <w:t>DEA</w:t>
            </w:r>
            <w:r>
              <w:rPr>
                <w:sz w:val="20"/>
                <w:szCs w:val="24"/>
                <w:lang w:val="fr-FR"/>
              </w:rPr>
              <w:t xml:space="preserve"> se trouve-t-il dans une armoire fermée à clef convenant au stockage de l’appareil, de la batterie et des électrodes, conformément aux indications du fabricant?</w:t>
            </w:r>
          </w:p>
        </w:tc>
        <w:tc>
          <w:tcPr>
            <w:tcW w:w="6662" w:type="dxa"/>
          </w:tcPr>
          <w:p w14:paraId="30CA15E9" w14:textId="77777777" w:rsidR="00EE4C0D" w:rsidRDefault="00EE4C0D">
            <w:pPr>
              <w:spacing w:before="40" w:after="40" w:line="276" w:lineRule="auto"/>
              <w:rPr>
                <w:sz w:val="20"/>
                <w:szCs w:val="24"/>
                <w:lang w:val="fr-FR"/>
              </w:rPr>
            </w:pPr>
          </w:p>
        </w:tc>
        <w:tc>
          <w:tcPr>
            <w:tcW w:w="1247" w:type="dxa"/>
          </w:tcPr>
          <w:p w14:paraId="30CA15EA" w14:textId="77777777" w:rsidR="00EE4C0D" w:rsidRDefault="00EE4C0D">
            <w:pPr>
              <w:spacing w:before="40" w:after="40" w:line="276" w:lineRule="auto"/>
              <w:rPr>
                <w:sz w:val="20"/>
                <w:szCs w:val="24"/>
                <w:lang w:val="fr-FR"/>
              </w:rPr>
            </w:pPr>
          </w:p>
        </w:tc>
        <w:tc>
          <w:tcPr>
            <w:tcW w:w="2689" w:type="dxa"/>
          </w:tcPr>
          <w:p w14:paraId="30CA15EB" w14:textId="77777777" w:rsidR="00EE4C0D" w:rsidRDefault="00EE4C0D">
            <w:pPr>
              <w:spacing w:before="40" w:after="40" w:line="276" w:lineRule="auto"/>
              <w:rPr>
                <w:sz w:val="20"/>
                <w:szCs w:val="24"/>
                <w:lang w:val="fr-FR"/>
              </w:rPr>
            </w:pPr>
          </w:p>
        </w:tc>
      </w:tr>
      <w:tr w:rsidR="00EE4C0D" w:rsidRPr="006F245B" w14:paraId="30CA15F1" w14:textId="77777777" w:rsidTr="00EE4C0D">
        <w:trPr>
          <w:cantSplit/>
        </w:trPr>
        <w:tc>
          <w:tcPr>
            <w:tcW w:w="4252" w:type="dxa"/>
          </w:tcPr>
          <w:p w14:paraId="30CA15ED" w14:textId="6C199A00" w:rsidR="00EE4C0D" w:rsidRDefault="00EE4C0D">
            <w:pPr>
              <w:spacing w:before="40" w:after="40" w:line="280" w:lineRule="auto"/>
              <w:rPr>
                <w:szCs w:val="24"/>
                <w:lang w:val="fr-FR"/>
              </w:rPr>
            </w:pPr>
            <w:r>
              <w:rPr>
                <w:b/>
                <w:sz w:val="20"/>
                <w:szCs w:val="24"/>
                <w:lang w:val="fr-FR"/>
              </w:rPr>
              <w:t>3.</w:t>
            </w:r>
            <w:r>
              <w:rPr>
                <w:sz w:val="20"/>
                <w:szCs w:val="24"/>
                <w:lang w:val="fr-FR"/>
              </w:rPr>
              <w:t xml:space="preserve"> L’armoire se trouve-t-elle à un endroit clairement visible ? La face avant est-elle munie du pictogramme prévu par l’A.R.?</w:t>
            </w:r>
          </w:p>
        </w:tc>
        <w:tc>
          <w:tcPr>
            <w:tcW w:w="6662" w:type="dxa"/>
          </w:tcPr>
          <w:p w14:paraId="30CA15EE" w14:textId="77777777" w:rsidR="00EE4C0D" w:rsidRDefault="00EE4C0D">
            <w:pPr>
              <w:spacing w:before="40" w:after="40" w:line="276" w:lineRule="auto"/>
              <w:rPr>
                <w:sz w:val="20"/>
                <w:szCs w:val="24"/>
                <w:lang w:val="fr-FR"/>
              </w:rPr>
            </w:pPr>
          </w:p>
        </w:tc>
        <w:tc>
          <w:tcPr>
            <w:tcW w:w="1247" w:type="dxa"/>
          </w:tcPr>
          <w:p w14:paraId="30CA15EF" w14:textId="77777777" w:rsidR="00EE4C0D" w:rsidRDefault="00EE4C0D">
            <w:pPr>
              <w:spacing w:before="40" w:after="40" w:line="276" w:lineRule="auto"/>
              <w:rPr>
                <w:sz w:val="20"/>
                <w:szCs w:val="24"/>
                <w:lang w:val="fr-FR"/>
              </w:rPr>
            </w:pPr>
          </w:p>
        </w:tc>
        <w:tc>
          <w:tcPr>
            <w:tcW w:w="2689" w:type="dxa"/>
          </w:tcPr>
          <w:p w14:paraId="30CA15F0" w14:textId="77777777" w:rsidR="00EE4C0D" w:rsidRDefault="00EE4C0D">
            <w:pPr>
              <w:spacing w:before="40" w:after="40" w:line="276" w:lineRule="auto"/>
              <w:rPr>
                <w:sz w:val="20"/>
                <w:szCs w:val="24"/>
                <w:lang w:val="fr-FR"/>
              </w:rPr>
            </w:pPr>
          </w:p>
        </w:tc>
      </w:tr>
      <w:tr w:rsidR="00EE4C0D" w:rsidRPr="006F245B" w14:paraId="30CA15F7" w14:textId="77777777" w:rsidTr="00EE4C0D">
        <w:trPr>
          <w:cantSplit/>
        </w:trPr>
        <w:tc>
          <w:tcPr>
            <w:tcW w:w="4252" w:type="dxa"/>
          </w:tcPr>
          <w:p w14:paraId="30CA15F2" w14:textId="63A92C69" w:rsidR="00EE4C0D" w:rsidRDefault="00EE4C0D" w:rsidP="00BF7BE6">
            <w:pPr>
              <w:spacing w:before="40" w:after="40" w:line="280" w:lineRule="auto"/>
              <w:rPr>
                <w:szCs w:val="24"/>
                <w:lang w:val="fr-FR"/>
              </w:rPr>
            </w:pPr>
            <w:r>
              <w:rPr>
                <w:b/>
                <w:sz w:val="20"/>
                <w:szCs w:val="24"/>
                <w:lang w:val="fr-FR"/>
              </w:rPr>
              <w:t>4.</w:t>
            </w:r>
            <w:r>
              <w:rPr>
                <w:sz w:val="20"/>
                <w:szCs w:val="24"/>
                <w:lang w:val="fr-FR"/>
              </w:rPr>
              <w:t xml:space="preserve"> Un aide-mémoire de la Direction Générale Soins de Santé primaires et Gestion de Crise est-il prévu dans l’armoire, au moins dans la (les) langue(s) de la région linguistique où se trouve le </w:t>
            </w:r>
            <w:r w:rsidR="00BF7BE6" w:rsidRPr="00893B77">
              <w:rPr>
                <w:sz w:val="20"/>
                <w:szCs w:val="24"/>
                <w:lang w:val="fr-FR"/>
              </w:rPr>
              <w:t>DEA</w:t>
            </w:r>
            <w:r>
              <w:rPr>
                <w:sz w:val="20"/>
                <w:szCs w:val="24"/>
                <w:lang w:val="fr-FR"/>
              </w:rPr>
              <w:t>?</w:t>
            </w:r>
          </w:p>
        </w:tc>
        <w:tc>
          <w:tcPr>
            <w:tcW w:w="6662" w:type="dxa"/>
          </w:tcPr>
          <w:p w14:paraId="30CA15F3" w14:textId="5AB47482" w:rsidR="00EE4C0D" w:rsidRDefault="00EE4C0D">
            <w:pPr>
              <w:spacing w:before="40" w:after="40" w:line="280" w:lineRule="auto"/>
              <w:rPr>
                <w:sz w:val="20"/>
                <w:szCs w:val="24"/>
                <w:lang w:val="fr-FR"/>
              </w:rPr>
            </w:pPr>
            <w:r>
              <w:rPr>
                <w:sz w:val="20"/>
                <w:szCs w:val="24"/>
                <w:lang w:val="fr-FR"/>
              </w:rPr>
              <w:t xml:space="preserve">Vous pouvez télécharger l’aide-mémoire sur les sites Internet du Conseil européen et belge de Réanimation : </w:t>
            </w:r>
            <w:hyperlink r:id="rId11" w:history="1">
              <w:r w:rsidR="00BF7BE6">
                <w:rPr>
                  <w:rStyle w:val="Hyperlink"/>
                  <w:sz w:val="20"/>
                  <w:szCs w:val="24"/>
                  <w:lang w:val="fr-FR"/>
                </w:rPr>
                <w:t>www.er.edu</w:t>
              </w:r>
            </w:hyperlink>
            <w:r>
              <w:rPr>
                <w:sz w:val="20"/>
                <w:szCs w:val="24"/>
                <w:lang w:val="fr-FR"/>
              </w:rPr>
              <w:t xml:space="preserve"> et </w:t>
            </w:r>
            <w:hyperlink r:id="rId12" w:history="1">
              <w:r w:rsidR="00BF7BE6">
                <w:rPr>
                  <w:rStyle w:val="Hyperlink"/>
                  <w:sz w:val="20"/>
                  <w:szCs w:val="24"/>
                  <w:lang w:val="fr-FR"/>
                </w:rPr>
                <w:t>www.resuscitation.be</w:t>
              </w:r>
            </w:hyperlink>
            <w:r w:rsidR="00BF7BE6">
              <w:rPr>
                <w:szCs w:val="24"/>
                <w:lang w:val="fr-FR"/>
              </w:rPr>
              <w:t>.</w:t>
            </w:r>
          </w:p>
          <w:p w14:paraId="30CA15F4" w14:textId="77777777" w:rsidR="00EE4C0D" w:rsidRDefault="00EE4C0D">
            <w:pPr>
              <w:spacing w:before="40" w:after="40" w:line="276" w:lineRule="auto"/>
              <w:rPr>
                <w:sz w:val="20"/>
                <w:szCs w:val="24"/>
                <w:lang w:val="fr-FR"/>
              </w:rPr>
            </w:pPr>
          </w:p>
        </w:tc>
        <w:tc>
          <w:tcPr>
            <w:tcW w:w="1247" w:type="dxa"/>
          </w:tcPr>
          <w:p w14:paraId="30CA15F5" w14:textId="77777777" w:rsidR="00EE4C0D" w:rsidRDefault="00EE4C0D">
            <w:pPr>
              <w:spacing w:before="40" w:after="40" w:line="280" w:lineRule="auto"/>
              <w:rPr>
                <w:sz w:val="20"/>
                <w:szCs w:val="24"/>
                <w:lang w:val="fr-FR"/>
              </w:rPr>
            </w:pPr>
          </w:p>
        </w:tc>
        <w:tc>
          <w:tcPr>
            <w:tcW w:w="2689" w:type="dxa"/>
          </w:tcPr>
          <w:p w14:paraId="30CA15F6" w14:textId="77777777" w:rsidR="00EE4C0D" w:rsidRDefault="00EE4C0D">
            <w:pPr>
              <w:spacing w:before="40" w:after="40" w:line="280" w:lineRule="auto"/>
              <w:rPr>
                <w:sz w:val="20"/>
                <w:szCs w:val="24"/>
                <w:lang w:val="fr-FR"/>
              </w:rPr>
            </w:pPr>
          </w:p>
        </w:tc>
      </w:tr>
      <w:tr w:rsidR="00EE4C0D" w:rsidRPr="006F245B" w14:paraId="30CA15FC" w14:textId="77777777" w:rsidTr="00EE4C0D">
        <w:trPr>
          <w:cantSplit/>
        </w:trPr>
        <w:tc>
          <w:tcPr>
            <w:tcW w:w="4252" w:type="dxa"/>
          </w:tcPr>
          <w:p w14:paraId="30CA15F8" w14:textId="0498595E" w:rsidR="00EE4C0D" w:rsidRDefault="00EE4C0D">
            <w:pPr>
              <w:spacing w:before="40" w:after="40" w:line="280" w:lineRule="auto"/>
              <w:rPr>
                <w:szCs w:val="24"/>
                <w:lang w:val="fr-FR"/>
              </w:rPr>
            </w:pPr>
            <w:r>
              <w:rPr>
                <w:b/>
                <w:sz w:val="20"/>
                <w:szCs w:val="24"/>
                <w:lang w:val="fr-FR"/>
              </w:rPr>
              <w:t>5.</w:t>
            </w:r>
            <w:r>
              <w:rPr>
                <w:sz w:val="20"/>
                <w:szCs w:val="24"/>
                <w:lang w:val="fr-FR"/>
              </w:rPr>
              <w:t xml:space="preserve"> Le nom et l’adresse du propriétaire figurent-ils sur l’armoire?</w:t>
            </w:r>
          </w:p>
        </w:tc>
        <w:tc>
          <w:tcPr>
            <w:tcW w:w="6662" w:type="dxa"/>
          </w:tcPr>
          <w:p w14:paraId="30CA15F9" w14:textId="77777777" w:rsidR="00EE4C0D" w:rsidRDefault="00EE4C0D">
            <w:pPr>
              <w:spacing w:before="40" w:after="40" w:line="276" w:lineRule="auto"/>
              <w:rPr>
                <w:sz w:val="20"/>
                <w:szCs w:val="24"/>
                <w:lang w:val="fr-FR"/>
              </w:rPr>
            </w:pPr>
          </w:p>
        </w:tc>
        <w:tc>
          <w:tcPr>
            <w:tcW w:w="1247" w:type="dxa"/>
          </w:tcPr>
          <w:p w14:paraId="30CA15FA" w14:textId="77777777" w:rsidR="00EE4C0D" w:rsidRDefault="00EE4C0D">
            <w:pPr>
              <w:spacing w:before="40" w:after="40" w:line="276" w:lineRule="auto"/>
              <w:rPr>
                <w:sz w:val="20"/>
                <w:szCs w:val="24"/>
                <w:lang w:val="fr-FR"/>
              </w:rPr>
            </w:pPr>
          </w:p>
        </w:tc>
        <w:tc>
          <w:tcPr>
            <w:tcW w:w="2689" w:type="dxa"/>
          </w:tcPr>
          <w:p w14:paraId="30CA15FB" w14:textId="77777777" w:rsidR="00EE4C0D" w:rsidRDefault="00EE4C0D">
            <w:pPr>
              <w:spacing w:before="40" w:after="40" w:line="276" w:lineRule="auto"/>
              <w:rPr>
                <w:sz w:val="20"/>
                <w:szCs w:val="24"/>
                <w:lang w:val="fr-FR"/>
              </w:rPr>
            </w:pPr>
          </w:p>
        </w:tc>
      </w:tr>
      <w:tr w:rsidR="00EE4C0D" w:rsidRPr="006F245B" w14:paraId="30CA1601" w14:textId="77777777" w:rsidTr="00EE4C0D">
        <w:trPr>
          <w:cantSplit/>
        </w:trPr>
        <w:tc>
          <w:tcPr>
            <w:tcW w:w="4252" w:type="dxa"/>
          </w:tcPr>
          <w:p w14:paraId="30CA15FD" w14:textId="355E7AC3" w:rsidR="00EE4C0D" w:rsidRDefault="00EE4C0D">
            <w:pPr>
              <w:spacing w:before="40" w:after="40" w:line="280" w:lineRule="auto"/>
              <w:rPr>
                <w:szCs w:val="24"/>
                <w:lang w:val="fr-FR"/>
              </w:rPr>
            </w:pPr>
            <w:r>
              <w:rPr>
                <w:b/>
                <w:sz w:val="20"/>
                <w:szCs w:val="24"/>
                <w:lang w:val="fr-FR"/>
              </w:rPr>
              <w:lastRenderedPageBreak/>
              <w:t xml:space="preserve">6. </w:t>
            </w:r>
            <w:r>
              <w:rPr>
                <w:sz w:val="20"/>
                <w:szCs w:val="24"/>
                <w:lang w:val="fr-FR"/>
              </w:rPr>
              <w:t>Le numéro de téléphone, l’adresse électronique et l’éventuel numéro de fax du propriétaire figurent-ils sur l’armoire?</w:t>
            </w:r>
          </w:p>
        </w:tc>
        <w:tc>
          <w:tcPr>
            <w:tcW w:w="6662" w:type="dxa"/>
          </w:tcPr>
          <w:p w14:paraId="30CA15FE" w14:textId="77777777" w:rsidR="00EE4C0D" w:rsidRDefault="00EE4C0D">
            <w:pPr>
              <w:spacing w:before="40" w:after="40" w:line="276" w:lineRule="auto"/>
              <w:rPr>
                <w:sz w:val="20"/>
                <w:szCs w:val="24"/>
                <w:lang w:val="fr-FR"/>
              </w:rPr>
            </w:pPr>
          </w:p>
        </w:tc>
        <w:tc>
          <w:tcPr>
            <w:tcW w:w="1247" w:type="dxa"/>
          </w:tcPr>
          <w:p w14:paraId="30CA15FF" w14:textId="77777777" w:rsidR="00EE4C0D" w:rsidRDefault="00EE4C0D">
            <w:pPr>
              <w:spacing w:before="40" w:after="40" w:line="276" w:lineRule="auto"/>
              <w:rPr>
                <w:sz w:val="20"/>
                <w:szCs w:val="24"/>
                <w:lang w:val="fr-FR"/>
              </w:rPr>
            </w:pPr>
          </w:p>
        </w:tc>
        <w:tc>
          <w:tcPr>
            <w:tcW w:w="2689" w:type="dxa"/>
          </w:tcPr>
          <w:p w14:paraId="30CA1600" w14:textId="77777777" w:rsidR="00EE4C0D" w:rsidRDefault="00EE4C0D">
            <w:pPr>
              <w:spacing w:before="40" w:after="40" w:line="276" w:lineRule="auto"/>
              <w:rPr>
                <w:sz w:val="20"/>
                <w:szCs w:val="24"/>
                <w:lang w:val="fr-FR"/>
              </w:rPr>
            </w:pPr>
          </w:p>
        </w:tc>
      </w:tr>
      <w:tr w:rsidR="00EE4C0D" w:rsidRPr="006F245B" w14:paraId="30CA1606" w14:textId="77777777" w:rsidTr="00EE4C0D">
        <w:trPr>
          <w:cantSplit/>
        </w:trPr>
        <w:tc>
          <w:tcPr>
            <w:tcW w:w="4252" w:type="dxa"/>
          </w:tcPr>
          <w:p w14:paraId="30CA1602" w14:textId="569536A7" w:rsidR="00EE4C0D" w:rsidRDefault="00EE4C0D">
            <w:pPr>
              <w:spacing w:before="40" w:after="40" w:line="280" w:lineRule="auto"/>
              <w:rPr>
                <w:szCs w:val="24"/>
                <w:lang w:val="fr-FR"/>
              </w:rPr>
            </w:pPr>
            <w:r>
              <w:rPr>
                <w:b/>
                <w:sz w:val="20"/>
                <w:szCs w:val="24"/>
                <w:lang w:val="fr-FR"/>
              </w:rPr>
              <w:t>7.</w:t>
            </w:r>
            <w:r>
              <w:rPr>
                <w:sz w:val="20"/>
                <w:szCs w:val="24"/>
                <w:lang w:val="fr-FR"/>
              </w:rPr>
              <w:t xml:space="preserve"> La mention « Seulement à utiliser si la personne est inconsciente et ne respire pas normalement » figure-t-elle sur l’armoire?</w:t>
            </w:r>
          </w:p>
        </w:tc>
        <w:tc>
          <w:tcPr>
            <w:tcW w:w="6662" w:type="dxa"/>
          </w:tcPr>
          <w:p w14:paraId="30CA1603" w14:textId="77777777" w:rsidR="00EE4C0D" w:rsidRDefault="00EE4C0D">
            <w:pPr>
              <w:spacing w:before="40" w:after="40" w:line="276" w:lineRule="auto"/>
              <w:rPr>
                <w:sz w:val="20"/>
                <w:szCs w:val="24"/>
                <w:lang w:val="fr-FR"/>
              </w:rPr>
            </w:pPr>
          </w:p>
        </w:tc>
        <w:tc>
          <w:tcPr>
            <w:tcW w:w="1247" w:type="dxa"/>
          </w:tcPr>
          <w:p w14:paraId="30CA1604" w14:textId="77777777" w:rsidR="00EE4C0D" w:rsidRDefault="00EE4C0D">
            <w:pPr>
              <w:spacing w:before="40" w:after="40" w:line="276" w:lineRule="auto"/>
              <w:rPr>
                <w:sz w:val="20"/>
                <w:szCs w:val="24"/>
                <w:lang w:val="fr-FR"/>
              </w:rPr>
            </w:pPr>
          </w:p>
        </w:tc>
        <w:tc>
          <w:tcPr>
            <w:tcW w:w="2689" w:type="dxa"/>
          </w:tcPr>
          <w:p w14:paraId="30CA1605" w14:textId="77777777" w:rsidR="00EE4C0D" w:rsidRDefault="00EE4C0D">
            <w:pPr>
              <w:spacing w:before="40" w:after="40" w:line="276" w:lineRule="auto"/>
              <w:rPr>
                <w:sz w:val="20"/>
                <w:szCs w:val="24"/>
                <w:lang w:val="fr-FR"/>
              </w:rPr>
            </w:pPr>
          </w:p>
        </w:tc>
      </w:tr>
      <w:tr w:rsidR="00EE4C0D" w:rsidRPr="006F245B" w14:paraId="30CA160B" w14:textId="77777777" w:rsidTr="00EE4C0D">
        <w:trPr>
          <w:cantSplit/>
        </w:trPr>
        <w:tc>
          <w:tcPr>
            <w:tcW w:w="4252" w:type="dxa"/>
          </w:tcPr>
          <w:p w14:paraId="30CA1607" w14:textId="4F1AEA24" w:rsidR="00EE4C0D" w:rsidRDefault="00EE4C0D">
            <w:pPr>
              <w:spacing w:before="40" w:after="40" w:line="280" w:lineRule="auto"/>
              <w:rPr>
                <w:szCs w:val="24"/>
                <w:lang w:val="fr-FR"/>
              </w:rPr>
            </w:pPr>
            <w:r>
              <w:rPr>
                <w:b/>
                <w:sz w:val="20"/>
                <w:szCs w:val="24"/>
                <w:lang w:val="fr-FR"/>
              </w:rPr>
              <w:t>8.</w:t>
            </w:r>
            <w:r>
              <w:rPr>
                <w:sz w:val="20"/>
                <w:szCs w:val="24"/>
                <w:lang w:val="fr-FR"/>
              </w:rPr>
              <w:t xml:space="preserve"> La mention « Veuillez avertir systématiquement le centre de secours d’aide médicale urgente via le numéro 100 ou 112 en cas d’utilisation d’un DEA » figure-t-elle sur l’armoire?</w:t>
            </w:r>
          </w:p>
        </w:tc>
        <w:tc>
          <w:tcPr>
            <w:tcW w:w="6662" w:type="dxa"/>
          </w:tcPr>
          <w:p w14:paraId="30CA1608" w14:textId="77777777" w:rsidR="00EE4C0D" w:rsidRDefault="00EE4C0D">
            <w:pPr>
              <w:spacing w:before="40" w:after="40" w:line="276" w:lineRule="auto"/>
              <w:rPr>
                <w:sz w:val="20"/>
                <w:szCs w:val="24"/>
                <w:lang w:val="fr-FR"/>
              </w:rPr>
            </w:pPr>
          </w:p>
        </w:tc>
        <w:tc>
          <w:tcPr>
            <w:tcW w:w="1247" w:type="dxa"/>
          </w:tcPr>
          <w:p w14:paraId="30CA1609" w14:textId="77777777" w:rsidR="00EE4C0D" w:rsidRDefault="00EE4C0D">
            <w:pPr>
              <w:spacing w:before="40" w:after="40" w:line="276" w:lineRule="auto"/>
              <w:rPr>
                <w:sz w:val="20"/>
                <w:szCs w:val="24"/>
                <w:lang w:val="fr-FR"/>
              </w:rPr>
            </w:pPr>
          </w:p>
        </w:tc>
        <w:tc>
          <w:tcPr>
            <w:tcW w:w="2689" w:type="dxa"/>
          </w:tcPr>
          <w:p w14:paraId="30CA160A" w14:textId="77777777" w:rsidR="00EE4C0D" w:rsidRDefault="00EE4C0D">
            <w:pPr>
              <w:spacing w:before="40" w:after="40" w:line="276" w:lineRule="auto"/>
              <w:rPr>
                <w:sz w:val="20"/>
                <w:szCs w:val="24"/>
                <w:lang w:val="fr-FR"/>
              </w:rPr>
            </w:pPr>
          </w:p>
        </w:tc>
      </w:tr>
      <w:tr w:rsidR="00EE4C0D" w:rsidRPr="006F245B" w14:paraId="30CA1610" w14:textId="77777777" w:rsidTr="00EE4C0D">
        <w:trPr>
          <w:cantSplit/>
        </w:trPr>
        <w:tc>
          <w:tcPr>
            <w:tcW w:w="4252" w:type="dxa"/>
          </w:tcPr>
          <w:p w14:paraId="30CA160C" w14:textId="679EB88D" w:rsidR="00EE4C0D" w:rsidRDefault="00EE4C0D" w:rsidP="00BF7BE6">
            <w:pPr>
              <w:spacing w:before="40" w:after="40" w:line="280" w:lineRule="auto"/>
              <w:rPr>
                <w:szCs w:val="24"/>
                <w:lang w:val="fr-FR"/>
              </w:rPr>
            </w:pPr>
            <w:r>
              <w:rPr>
                <w:b/>
                <w:sz w:val="20"/>
                <w:szCs w:val="24"/>
                <w:lang w:val="fr-FR"/>
              </w:rPr>
              <w:t>9.</w:t>
            </w:r>
            <w:r>
              <w:rPr>
                <w:sz w:val="20"/>
                <w:szCs w:val="24"/>
                <w:lang w:val="fr-FR"/>
              </w:rPr>
              <w:t xml:space="preserve"> Si </w:t>
            </w:r>
            <w:r w:rsidRPr="00893B77">
              <w:rPr>
                <w:sz w:val="20"/>
                <w:szCs w:val="24"/>
                <w:lang w:val="fr-FR"/>
              </w:rPr>
              <w:t xml:space="preserve">le </w:t>
            </w:r>
            <w:r w:rsidR="00BF7BE6" w:rsidRPr="00893B77">
              <w:rPr>
                <w:sz w:val="20"/>
                <w:szCs w:val="24"/>
                <w:lang w:val="fr-FR"/>
              </w:rPr>
              <w:t>DEA</w:t>
            </w:r>
            <w:r w:rsidRPr="00893B77">
              <w:rPr>
                <w:sz w:val="20"/>
                <w:szCs w:val="24"/>
                <w:lang w:val="fr-FR"/>
              </w:rPr>
              <w:t xml:space="preserve"> </w:t>
            </w:r>
            <w:r>
              <w:rPr>
                <w:sz w:val="20"/>
                <w:szCs w:val="24"/>
                <w:lang w:val="fr-FR"/>
              </w:rPr>
              <w:t>est rangé dans un sac, le pictogramme et les informations qui figurent sur celui-ci correspondent-ils à ceux qui sont apposés sur l’armoire?</w:t>
            </w:r>
          </w:p>
        </w:tc>
        <w:tc>
          <w:tcPr>
            <w:tcW w:w="6662" w:type="dxa"/>
          </w:tcPr>
          <w:p w14:paraId="30CA160D" w14:textId="77777777" w:rsidR="00EE4C0D" w:rsidRDefault="00EE4C0D">
            <w:pPr>
              <w:spacing w:before="40" w:after="40" w:line="276" w:lineRule="auto"/>
              <w:rPr>
                <w:sz w:val="20"/>
                <w:szCs w:val="24"/>
                <w:lang w:val="fr-FR"/>
              </w:rPr>
            </w:pPr>
          </w:p>
        </w:tc>
        <w:tc>
          <w:tcPr>
            <w:tcW w:w="1247" w:type="dxa"/>
          </w:tcPr>
          <w:p w14:paraId="30CA160E" w14:textId="77777777" w:rsidR="00EE4C0D" w:rsidRDefault="00EE4C0D">
            <w:pPr>
              <w:spacing w:before="40" w:after="40" w:line="276" w:lineRule="auto"/>
              <w:rPr>
                <w:sz w:val="20"/>
                <w:szCs w:val="24"/>
                <w:lang w:val="fr-FR"/>
              </w:rPr>
            </w:pPr>
          </w:p>
        </w:tc>
        <w:tc>
          <w:tcPr>
            <w:tcW w:w="2689" w:type="dxa"/>
          </w:tcPr>
          <w:p w14:paraId="30CA160F" w14:textId="77777777" w:rsidR="00EE4C0D" w:rsidRDefault="00EE4C0D">
            <w:pPr>
              <w:spacing w:before="40" w:after="40" w:line="276" w:lineRule="auto"/>
              <w:rPr>
                <w:sz w:val="20"/>
                <w:szCs w:val="24"/>
                <w:lang w:val="fr-FR"/>
              </w:rPr>
            </w:pPr>
          </w:p>
        </w:tc>
      </w:tr>
      <w:tr w:rsidR="00EE4C0D" w:rsidRPr="006F245B" w14:paraId="30CA1616" w14:textId="77777777" w:rsidTr="00EE4C0D">
        <w:trPr>
          <w:cantSplit/>
        </w:trPr>
        <w:tc>
          <w:tcPr>
            <w:tcW w:w="4252" w:type="dxa"/>
          </w:tcPr>
          <w:p w14:paraId="30CA1611" w14:textId="4F70F99C" w:rsidR="00EE4C0D" w:rsidRDefault="00EE4C0D" w:rsidP="00BF7BE6">
            <w:pPr>
              <w:spacing w:before="40" w:after="40" w:line="280" w:lineRule="auto"/>
              <w:rPr>
                <w:szCs w:val="24"/>
                <w:lang w:val="fr-FR"/>
              </w:rPr>
            </w:pPr>
            <w:r>
              <w:rPr>
                <w:b/>
                <w:sz w:val="20"/>
                <w:szCs w:val="24"/>
                <w:lang w:val="fr-FR"/>
              </w:rPr>
              <w:t>10.</w:t>
            </w:r>
            <w:r>
              <w:rPr>
                <w:sz w:val="20"/>
                <w:szCs w:val="24"/>
                <w:lang w:val="fr-FR"/>
              </w:rPr>
              <w:t xml:space="preserve"> </w:t>
            </w:r>
            <w:r w:rsidRPr="00893B77">
              <w:rPr>
                <w:sz w:val="20"/>
                <w:szCs w:val="24"/>
                <w:lang w:val="fr-FR"/>
              </w:rPr>
              <w:t>Le</w:t>
            </w:r>
            <w:r w:rsidR="00BF7BE6" w:rsidRPr="00893B77">
              <w:rPr>
                <w:sz w:val="20"/>
                <w:szCs w:val="24"/>
                <w:lang w:val="fr-FR"/>
              </w:rPr>
              <w:t xml:space="preserve"> DEA</w:t>
            </w:r>
            <w:r w:rsidRPr="00893B77">
              <w:rPr>
                <w:sz w:val="20"/>
                <w:szCs w:val="24"/>
                <w:lang w:val="fr-FR"/>
              </w:rPr>
              <w:t xml:space="preserve"> est</w:t>
            </w:r>
            <w:r>
              <w:rPr>
                <w:sz w:val="20"/>
                <w:szCs w:val="24"/>
                <w:lang w:val="fr-FR"/>
              </w:rPr>
              <w:t xml:space="preserve">-il réglé conformément aux </w:t>
            </w:r>
            <w:proofErr w:type="spellStart"/>
            <w:r>
              <w:rPr>
                <w:sz w:val="20"/>
                <w:szCs w:val="24"/>
                <w:lang w:val="fr-FR"/>
              </w:rPr>
              <w:t>European</w:t>
            </w:r>
            <w:proofErr w:type="spellEnd"/>
            <w:r>
              <w:rPr>
                <w:sz w:val="20"/>
                <w:szCs w:val="24"/>
                <w:lang w:val="fr-FR"/>
              </w:rPr>
              <w:t xml:space="preserve"> </w:t>
            </w:r>
            <w:proofErr w:type="spellStart"/>
            <w:r>
              <w:rPr>
                <w:sz w:val="20"/>
                <w:szCs w:val="24"/>
                <w:lang w:val="fr-FR"/>
              </w:rPr>
              <w:t>Resuscitation</w:t>
            </w:r>
            <w:proofErr w:type="spellEnd"/>
            <w:r>
              <w:rPr>
                <w:sz w:val="20"/>
                <w:szCs w:val="24"/>
                <w:lang w:val="fr-FR"/>
              </w:rPr>
              <w:t xml:space="preserve"> Council Guidelines publiés dans </w:t>
            </w:r>
            <w:proofErr w:type="spellStart"/>
            <w:r>
              <w:rPr>
                <w:sz w:val="20"/>
                <w:szCs w:val="24"/>
                <w:lang w:val="fr-FR"/>
              </w:rPr>
              <w:t>Resuscitation</w:t>
            </w:r>
            <w:proofErr w:type="spellEnd"/>
            <w:r>
              <w:rPr>
                <w:sz w:val="20"/>
                <w:szCs w:val="24"/>
                <w:lang w:val="fr-FR"/>
              </w:rPr>
              <w:t xml:space="preserve"> (2005), 67S1, S7-S23, octobre 2005?</w:t>
            </w:r>
          </w:p>
        </w:tc>
        <w:tc>
          <w:tcPr>
            <w:tcW w:w="6662" w:type="dxa"/>
          </w:tcPr>
          <w:p w14:paraId="30CA1612" w14:textId="08872C11" w:rsidR="00EE4C0D" w:rsidRDefault="00EE4C0D">
            <w:pPr>
              <w:spacing w:before="40" w:after="40" w:line="280" w:lineRule="auto"/>
              <w:rPr>
                <w:sz w:val="20"/>
                <w:szCs w:val="24"/>
                <w:lang w:val="fr-FR"/>
              </w:rPr>
            </w:pPr>
            <w:r>
              <w:rPr>
                <w:sz w:val="20"/>
                <w:szCs w:val="24"/>
                <w:lang w:val="fr-FR"/>
              </w:rPr>
              <w:t xml:space="preserve">Vous trouverez de plus amples informations sur les directives sur les sites Internet du Conseil européen et belge de Réanimation : </w:t>
            </w:r>
            <w:hyperlink r:id="rId13" w:history="1">
              <w:r w:rsidR="00BF7BE6">
                <w:rPr>
                  <w:rStyle w:val="Hyperlink"/>
                  <w:sz w:val="20"/>
                  <w:szCs w:val="24"/>
                  <w:lang w:val="fr-FR"/>
                </w:rPr>
                <w:t>www.erc.edu</w:t>
              </w:r>
            </w:hyperlink>
            <w:r w:rsidR="00BF7BE6">
              <w:rPr>
                <w:sz w:val="20"/>
                <w:szCs w:val="24"/>
                <w:lang w:val="fr-FR"/>
              </w:rPr>
              <w:t xml:space="preserve"> et </w:t>
            </w:r>
            <w:hyperlink r:id="rId14" w:history="1">
              <w:r w:rsidR="00BF7BE6">
                <w:rPr>
                  <w:rStyle w:val="Hyperlink"/>
                  <w:sz w:val="20"/>
                  <w:szCs w:val="24"/>
                  <w:lang w:val="fr-FR"/>
                </w:rPr>
                <w:t>www.resuscitation.be</w:t>
              </w:r>
            </w:hyperlink>
            <w:r w:rsidR="00BF7BE6">
              <w:rPr>
                <w:szCs w:val="24"/>
                <w:lang w:val="fr-FR"/>
              </w:rPr>
              <w:t>.</w:t>
            </w:r>
            <w:r>
              <w:rPr>
                <w:szCs w:val="24"/>
                <w:lang w:val="fr-FR"/>
              </w:rPr>
              <w:t>.</w:t>
            </w:r>
          </w:p>
          <w:p w14:paraId="30CA1613" w14:textId="77777777" w:rsidR="00EE4C0D" w:rsidRDefault="00EE4C0D">
            <w:pPr>
              <w:spacing w:before="40" w:after="40" w:line="276" w:lineRule="auto"/>
              <w:rPr>
                <w:sz w:val="20"/>
                <w:szCs w:val="24"/>
                <w:lang w:val="fr-FR"/>
              </w:rPr>
            </w:pPr>
          </w:p>
        </w:tc>
        <w:tc>
          <w:tcPr>
            <w:tcW w:w="1247" w:type="dxa"/>
          </w:tcPr>
          <w:p w14:paraId="30CA1614" w14:textId="77777777" w:rsidR="00EE4C0D" w:rsidRDefault="00EE4C0D">
            <w:pPr>
              <w:spacing w:before="40" w:after="40" w:line="280" w:lineRule="auto"/>
              <w:rPr>
                <w:sz w:val="20"/>
                <w:szCs w:val="24"/>
                <w:lang w:val="fr-FR"/>
              </w:rPr>
            </w:pPr>
          </w:p>
        </w:tc>
        <w:tc>
          <w:tcPr>
            <w:tcW w:w="2689" w:type="dxa"/>
          </w:tcPr>
          <w:p w14:paraId="30CA1615" w14:textId="77777777" w:rsidR="00EE4C0D" w:rsidRDefault="00EE4C0D">
            <w:pPr>
              <w:spacing w:before="40" w:after="40" w:line="280" w:lineRule="auto"/>
              <w:rPr>
                <w:sz w:val="20"/>
                <w:szCs w:val="24"/>
                <w:lang w:val="fr-FR"/>
              </w:rPr>
            </w:pPr>
          </w:p>
        </w:tc>
      </w:tr>
      <w:tr w:rsidR="00EE4C0D" w:rsidRPr="006F245B" w14:paraId="30CA1620" w14:textId="77777777" w:rsidTr="00EE4C0D">
        <w:trPr>
          <w:cantSplit/>
        </w:trPr>
        <w:tc>
          <w:tcPr>
            <w:tcW w:w="4252" w:type="dxa"/>
          </w:tcPr>
          <w:p w14:paraId="30CA161C" w14:textId="3C24B774" w:rsidR="00EE4C0D" w:rsidRDefault="00EE4C0D" w:rsidP="00BF7BE6">
            <w:pPr>
              <w:spacing w:before="40" w:after="40" w:line="280" w:lineRule="auto"/>
              <w:rPr>
                <w:szCs w:val="24"/>
                <w:lang w:val="fr-FR"/>
              </w:rPr>
            </w:pPr>
            <w:r>
              <w:rPr>
                <w:b/>
                <w:sz w:val="20"/>
                <w:szCs w:val="24"/>
                <w:lang w:val="fr-FR"/>
              </w:rPr>
              <w:t>11.</w:t>
            </w:r>
            <w:r>
              <w:rPr>
                <w:sz w:val="20"/>
                <w:szCs w:val="24"/>
                <w:lang w:val="fr-FR"/>
              </w:rPr>
              <w:t xml:space="preserve"> L’état </w:t>
            </w:r>
            <w:r w:rsidRPr="00893B77">
              <w:rPr>
                <w:sz w:val="20"/>
                <w:szCs w:val="24"/>
                <w:lang w:val="fr-FR"/>
              </w:rPr>
              <w:t xml:space="preserve">du </w:t>
            </w:r>
            <w:r w:rsidR="00BF7BE6" w:rsidRPr="00893B77">
              <w:rPr>
                <w:sz w:val="20"/>
                <w:szCs w:val="24"/>
                <w:lang w:val="fr-FR"/>
              </w:rPr>
              <w:t>DEA</w:t>
            </w:r>
            <w:r w:rsidRPr="00893B77">
              <w:rPr>
                <w:sz w:val="20"/>
                <w:szCs w:val="24"/>
                <w:lang w:val="fr-FR"/>
              </w:rPr>
              <w:t xml:space="preserve"> est</w:t>
            </w:r>
            <w:r>
              <w:rPr>
                <w:sz w:val="20"/>
                <w:szCs w:val="24"/>
                <w:lang w:val="fr-FR"/>
              </w:rPr>
              <w:t>-il vérifié au moins une fois par mois, en particulier les messages d’alerte qui se rapportent à la batterie et à la présence d’une paire d’électrodes intacte?</w:t>
            </w:r>
          </w:p>
        </w:tc>
        <w:tc>
          <w:tcPr>
            <w:tcW w:w="6662" w:type="dxa"/>
          </w:tcPr>
          <w:p w14:paraId="30CA161D" w14:textId="77777777" w:rsidR="00EE4C0D" w:rsidRDefault="00EE4C0D">
            <w:pPr>
              <w:spacing w:before="40" w:after="40" w:line="276" w:lineRule="auto"/>
              <w:rPr>
                <w:b/>
                <w:color w:val="008000"/>
                <w:sz w:val="20"/>
                <w:szCs w:val="24"/>
                <w:lang w:val="fr-FR"/>
              </w:rPr>
            </w:pPr>
          </w:p>
        </w:tc>
        <w:tc>
          <w:tcPr>
            <w:tcW w:w="1247" w:type="dxa"/>
          </w:tcPr>
          <w:p w14:paraId="30CA161E" w14:textId="77777777" w:rsidR="00EE4C0D" w:rsidRDefault="00EE4C0D">
            <w:pPr>
              <w:spacing w:before="40" w:after="40" w:line="276" w:lineRule="auto"/>
              <w:rPr>
                <w:b/>
                <w:color w:val="008000"/>
                <w:sz w:val="20"/>
                <w:szCs w:val="24"/>
                <w:lang w:val="fr-FR"/>
              </w:rPr>
            </w:pPr>
          </w:p>
        </w:tc>
        <w:tc>
          <w:tcPr>
            <w:tcW w:w="2689" w:type="dxa"/>
          </w:tcPr>
          <w:p w14:paraId="30CA161F" w14:textId="77777777" w:rsidR="00EE4C0D" w:rsidRDefault="00EE4C0D">
            <w:pPr>
              <w:spacing w:before="40" w:after="40" w:line="276" w:lineRule="auto"/>
              <w:rPr>
                <w:b/>
                <w:color w:val="008000"/>
                <w:sz w:val="20"/>
                <w:szCs w:val="24"/>
                <w:lang w:val="fr-FR"/>
              </w:rPr>
            </w:pPr>
          </w:p>
        </w:tc>
      </w:tr>
      <w:tr w:rsidR="00EE4C0D" w:rsidRPr="006F245B" w14:paraId="30CA1625" w14:textId="77777777" w:rsidTr="00EE4C0D">
        <w:trPr>
          <w:cantSplit/>
        </w:trPr>
        <w:tc>
          <w:tcPr>
            <w:tcW w:w="4252" w:type="dxa"/>
          </w:tcPr>
          <w:p w14:paraId="30CA1621" w14:textId="669DD13D" w:rsidR="00EE4C0D" w:rsidRDefault="00EE4C0D">
            <w:pPr>
              <w:spacing w:before="40" w:after="40" w:line="280" w:lineRule="auto"/>
              <w:rPr>
                <w:szCs w:val="24"/>
                <w:lang w:val="fr-FR"/>
              </w:rPr>
            </w:pPr>
            <w:r>
              <w:rPr>
                <w:b/>
                <w:sz w:val="20"/>
                <w:szCs w:val="24"/>
                <w:lang w:val="fr-FR"/>
              </w:rPr>
              <w:t>12.</w:t>
            </w:r>
            <w:r>
              <w:rPr>
                <w:sz w:val="20"/>
                <w:szCs w:val="24"/>
                <w:lang w:val="fr-FR"/>
              </w:rPr>
              <w:t xml:space="preserve"> Ce contrôle est-il consigné par écrit dans un registre?</w:t>
            </w:r>
          </w:p>
        </w:tc>
        <w:tc>
          <w:tcPr>
            <w:tcW w:w="6662" w:type="dxa"/>
          </w:tcPr>
          <w:p w14:paraId="30CA1622" w14:textId="77777777" w:rsidR="00EE4C0D" w:rsidRDefault="00EE4C0D">
            <w:pPr>
              <w:spacing w:before="40" w:after="40" w:line="276" w:lineRule="auto"/>
              <w:rPr>
                <w:b/>
                <w:color w:val="008000"/>
                <w:sz w:val="20"/>
                <w:szCs w:val="24"/>
                <w:lang w:val="fr-FR"/>
              </w:rPr>
            </w:pPr>
          </w:p>
        </w:tc>
        <w:tc>
          <w:tcPr>
            <w:tcW w:w="1247" w:type="dxa"/>
          </w:tcPr>
          <w:p w14:paraId="30CA1623" w14:textId="77777777" w:rsidR="00EE4C0D" w:rsidRDefault="00EE4C0D">
            <w:pPr>
              <w:spacing w:before="40" w:after="40" w:line="276" w:lineRule="auto"/>
              <w:rPr>
                <w:b/>
                <w:color w:val="008000"/>
                <w:sz w:val="20"/>
                <w:szCs w:val="24"/>
                <w:lang w:val="fr-FR"/>
              </w:rPr>
            </w:pPr>
          </w:p>
        </w:tc>
        <w:tc>
          <w:tcPr>
            <w:tcW w:w="2689" w:type="dxa"/>
          </w:tcPr>
          <w:p w14:paraId="30CA1624" w14:textId="77777777" w:rsidR="00EE4C0D" w:rsidRDefault="00EE4C0D">
            <w:pPr>
              <w:spacing w:before="40" w:after="40" w:line="276" w:lineRule="auto"/>
              <w:rPr>
                <w:b/>
                <w:color w:val="008000"/>
                <w:sz w:val="20"/>
                <w:szCs w:val="24"/>
                <w:lang w:val="fr-FR"/>
              </w:rPr>
            </w:pPr>
          </w:p>
        </w:tc>
      </w:tr>
      <w:tr w:rsidR="00EE4C0D" w:rsidRPr="006F245B" w14:paraId="30CA162A" w14:textId="77777777" w:rsidTr="00EE4C0D">
        <w:trPr>
          <w:cantSplit/>
        </w:trPr>
        <w:tc>
          <w:tcPr>
            <w:tcW w:w="4252" w:type="dxa"/>
          </w:tcPr>
          <w:p w14:paraId="30CA1626" w14:textId="6B8A82AC" w:rsidR="00EE4C0D" w:rsidRDefault="00EE4C0D" w:rsidP="00BF7BE6">
            <w:pPr>
              <w:spacing w:before="40" w:after="40" w:line="280" w:lineRule="auto"/>
              <w:rPr>
                <w:szCs w:val="24"/>
                <w:lang w:val="fr-FR"/>
              </w:rPr>
            </w:pPr>
            <w:r>
              <w:rPr>
                <w:b/>
                <w:sz w:val="20"/>
                <w:szCs w:val="24"/>
                <w:lang w:val="fr-FR"/>
              </w:rPr>
              <w:t>13.</w:t>
            </w:r>
            <w:r>
              <w:rPr>
                <w:sz w:val="20"/>
                <w:szCs w:val="24"/>
                <w:lang w:val="fr-FR"/>
              </w:rPr>
              <w:t xml:space="preserve"> Après avoir utilisé le </w:t>
            </w:r>
            <w:r w:rsidR="00BF7BE6" w:rsidRPr="00893B77">
              <w:rPr>
                <w:sz w:val="20"/>
                <w:szCs w:val="24"/>
                <w:lang w:val="fr-FR"/>
              </w:rPr>
              <w:t>DEA</w:t>
            </w:r>
            <w:r>
              <w:rPr>
                <w:sz w:val="20"/>
                <w:szCs w:val="24"/>
                <w:lang w:val="fr-FR"/>
              </w:rPr>
              <w:t>, a-t-on vérifié l’état de la batterie et la présence d’une paire d’électrodes intacte?</w:t>
            </w:r>
          </w:p>
        </w:tc>
        <w:tc>
          <w:tcPr>
            <w:tcW w:w="6662" w:type="dxa"/>
          </w:tcPr>
          <w:p w14:paraId="30CA1627" w14:textId="77777777" w:rsidR="00EE4C0D" w:rsidRDefault="00EE4C0D">
            <w:pPr>
              <w:spacing w:before="40" w:after="40" w:line="276" w:lineRule="auto"/>
              <w:rPr>
                <w:b/>
                <w:color w:val="008000"/>
                <w:sz w:val="20"/>
                <w:szCs w:val="24"/>
                <w:lang w:val="fr-FR"/>
              </w:rPr>
            </w:pPr>
          </w:p>
        </w:tc>
        <w:tc>
          <w:tcPr>
            <w:tcW w:w="1247" w:type="dxa"/>
          </w:tcPr>
          <w:p w14:paraId="30CA1628" w14:textId="77777777" w:rsidR="00EE4C0D" w:rsidRDefault="00EE4C0D">
            <w:pPr>
              <w:spacing w:before="40" w:after="40" w:line="276" w:lineRule="auto"/>
              <w:rPr>
                <w:b/>
                <w:color w:val="008000"/>
                <w:sz w:val="20"/>
                <w:szCs w:val="24"/>
                <w:lang w:val="fr-FR"/>
              </w:rPr>
            </w:pPr>
          </w:p>
        </w:tc>
        <w:tc>
          <w:tcPr>
            <w:tcW w:w="2689" w:type="dxa"/>
          </w:tcPr>
          <w:p w14:paraId="30CA1629" w14:textId="77777777" w:rsidR="00EE4C0D" w:rsidRDefault="00EE4C0D">
            <w:pPr>
              <w:spacing w:before="40" w:after="40" w:line="276" w:lineRule="auto"/>
              <w:rPr>
                <w:b/>
                <w:color w:val="008000"/>
                <w:sz w:val="20"/>
                <w:szCs w:val="24"/>
                <w:lang w:val="fr-FR"/>
              </w:rPr>
            </w:pPr>
          </w:p>
        </w:tc>
      </w:tr>
      <w:tr w:rsidR="00EE4C0D" w:rsidRPr="006F245B" w14:paraId="30CA162F" w14:textId="77777777" w:rsidTr="00EE4C0D">
        <w:trPr>
          <w:cantSplit/>
        </w:trPr>
        <w:tc>
          <w:tcPr>
            <w:tcW w:w="4252" w:type="dxa"/>
          </w:tcPr>
          <w:p w14:paraId="30CA162B" w14:textId="77A762E9" w:rsidR="00EE4C0D" w:rsidRDefault="00EE4C0D">
            <w:pPr>
              <w:spacing w:before="40" w:after="40" w:line="280" w:lineRule="auto"/>
              <w:rPr>
                <w:szCs w:val="24"/>
                <w:lang w:val="fr-FR"/>
              </w:rPr>
            </w:pPr>
            <w:r>
              <w:rPr>
                <w:b/>
                <w:sz w:val="20"/>
                <w:szCs w:val="24"/>
                <w:lang w:val="fr-FR"/>
              </w:rPr>
              <w:lastRenderedPageBreak/>
              <w:t>14.</w:t>
            </w:r>
            <w:r>
              <w:rPr>
                <w:sz w:val="20"/>
                <w:szCs w:val="24"/>
                <w:lang w:val="fr-FR"/>
              </w:rPr>
              <w:t xml:space="preserve"> Les informations enregistrées par l’appareil, à la demande du médecin traitant du patient, ont-elles été communiquées à ce médecin?</w:t>
            </w:r>
          </w:p>
        </w:tc>
        <w:tc>
          <w:tcPr>
            <w:tcW w:w="6662" w:type="dxa"/>
          </w:tcPr>
          <w:p w14:paraId="30CA162C" w14:textId="77777777" w:rsidR="00EE4C0D" w:rsidRDefault="00EE4C0D">
            <w:pPr>
              <w:spacing w:before="40" w:after="40" w:line="276" w:lineRule="auto"/>
              <w:rPr>
                <w:b/>
                <w:color w:val="008000"/>
                <w:sz w:val="20"/>
                <w:szCs w:val="24"/>
                <w:lang w:val="fr-FR"/>
              </w:rPr>
            </w:pPr>
          </w:p>
        </w:tc>
        <w:tc>
          <w:tcPr>
            <w:tcW w:w="1247" w:type="dxa"/>
          </w:tcPr>
          <w:p w14:paraId="30CA162D" w14:textId="77777777" w:rsidR="00EE4C0D" w:rsidRDefault="00EE4C0D">
            <w:pPr>
              <w:spacing w:before="40" w:after="40" w:line="276" w:lineRule="auto"/>
              <w:rPr>
                <w:b/>
                <w:color w:val="008000"/>
                <w:sz w:val="20"/>
                <w:szCs w:val="24"/>
                <w:lang w:val="fr-FR"/>
              </w:rPr>
            </w:pPr>
          </w:p>
        </w:tc>
        <w:tc>
          <w:tcPr>
            <w:tcW w:w="2689" w:type="dxa"/>
          </w:tcPr>
          <w:p w14:paraId="30CA162E" w14:textId="77777777" w:rsidR="00EE4C0D" w:rsidRDefault="00EE4C0D">
            <w:pPr>
              <w:spacing w:before="40" w:after="40" w:line="276" w:lineRule="auto"/>
              <w:rPr>
                <w:b/>
                <w:color w:val="008000"/>
                <w:sz w:val="20"/>
                <w:szCs w:val="24"/>
                <w:lang w:val="fr-FR"/>
              </w:rPr>
            </w:pPr>
          </w:p>
        </w:tc>
      </w:tr>
      <w:tr w:rsidR="00EE4C0D" w:rsidRPr="006F245B" w14:paraId="30CA1634" w14:textId="77777777" w:rsidTr="00EE4C0D">
        <w:trPr>
          <w:cantSplit/>
        </w:trPr>
        <w:tc>
          <w:tcPr>
            <w:tcW w:w="4252" w:type="dxa"/>
          </w:tcPr>
          <w:p w14:paraId="30CA1630" w14:textId="2808E0DE" w:rsidR="00EE4C0D" w:rsidRDefault="00EE4C0D" w:rsidP="00BF7BE6">
            <w:pPr>
              <w:spacing w:before="40" w:after="40" w:line="280" w:lineRule="auto"/>
              <w:rPr>
                <w:szCs w:val="24"/>
                <w:lang w:val="fr-FR"/>
              </w:rPr>
            </w:pPr>
            <w:r>
              <w:rPr>
                <w:b/>
                <w:sz w:val="20"/>
                <w:szCs w:val="24"/>
                <w:lang w:val="fr-FR"/>
              </w:rPr>
              <w:t>15.</w:t>
            </w:r>
            <w:r>
              <w:rPr>
                <w:sz w:val="20"/>
                <w:szCs w:val="24"/>
                <w:lang w:val="fr-FR"/>
              </w:rPr>
              <w:t xml:space="preserve"> Toutes les informations enregistrées par le </w:t>
            </w:r>
            <w:r w:rsidR="00BF7BE6" w:rsidRPr="00893B77">
              <w:rPr>
                <w:sz w:val="20"/>
                <w:szCs w:val="24"/>
                <w:lang w:val="fr-FR"/>
              </w:rPr>
              <w:t>DEA</w:t>
            </w:r>
            <w:r>
              <w:rPr>
                <w:sz w:val="20"/>
                <w:szCs w:val="24"/>
                <w:lang w:val="fr-FR"/>
              </w:rPr>
              <w:t xml:space="preserve"> sont-elles communiquées chaque année à la Direction Générale Soins de Santé primaires et Gestion de Crise?</w:t>
            </w:r>
          </w:p>
        </w:tc>
        <w:tc>
          <w:tcPr>
            <w:tcW w:w="6662" w:type="dxa"/>
          </w:tcPr>
          <w:p w14:paraId="30CA1631" w14:textId="77777777" w:rsidR="00EE4C0D" w:rsidRDefault="00EE4C0D">
            <w:pPr>
              <w:spacing w:before="40" w:after="40" w:line="280" w:lineRule="auto"/>
              <w:rPr>
                <w:szCs w:val="24"/>
                <w:lang w:val="fr-FR"/>
              </w:rPr>
            </w:pPr>
            <w:r>
              <w:rPr>
                <w:sz w:val="20"/>
                <w:szCs w:val="24"/>
                <w:lang w:val="fr-FR"/>
              </w:rPr>
              <w:t xml:space="preserve">Le Service Public Fédéral Santé publique, Sécurité de </w:t>
            </w:r>
            <w:smartTag w:uri="urn:schemas-microsoft-com:office:smarttags" w:element="PersonName">
              <w:smartTagPr>
                <w:attr w:name="ProductID" w:val="la Chaîne"/>
              </w:smartTagPr>
              <w:r>
                <w:rPr>
                  <w:sz w:val="20"/>
                  <w:szCs w:val="24"/>
                  <w:lang w:val="fr-FR"/>
                </w:rPr>
                <w:t>la Chaîne</w:t>
              </w:r>
            </w:smartTag>
            <w:r>
              <w:rPr>
                <w:sz w:val="20"/>
                <w:szCs w:val="24"/>
                <w:lang w:val="fr-FR"/>
              </w:rPr>
              <w:t xml:space="preserve"> alimentaire et Environnement fixe les règles à respecter en la matière.</w:t>
            </w:r>
          </w:p>
        </w:tc>
        <w:tc>
          <w:tcPr>
            <w:tcW w:w="1247" w:type="dxa"/>
          </w:tcPr>
          <w:p w14:paraId="30CA1632" w14:textId="77777777" w:rsidR="00EE4C0D" w:rsidRDefault="00EE4C0D">
            <w:pPr>
              <w:spacing w:before="40" w:after="40" w:line="280" w:lineRule="auto"/>
              <w:rPr>
                <w:sz w:val="20"/>
                <w:szCs w:val="24"/>
                <w:lang w:val="fr-FR"/>
              </w:rPr>
            </w:pPr>
          </w:p>
        </w:tc>
        <w:tc>
          <w:tcPr>
            <w:tcW w:w="2689" w:type="dxa"/>
          </w:tcPr>
          <w:p w14:paraId="30CA1633" w14:textId="77777777" w:rsidR="00EE4C0D" w:rsidRDefault="00EE4C0D">
            <w:pPr>
              <w:spacing w:before="40" w:after="40" w:line="280" w:lineRule="auto"/>
              <w:rPr>
                <w:sz w:val="20"/>
                <w:szCs w:val="24"/>
                <w:lang w:val="fr-FR"/>
              </w:rPr>
            </w:pPr>
          </w:p>
        </w:tc>
      </w:tr>
    </w:tbl>
    <w:p w14:paraId="30CA1635" w14:textId="77777777" w:rsidR="002A642E" w:rsidRDefault="002A642E">
      <w:pPr>
        <w:spacing w:before="40" w:after="40" w:line="276" w:lineRule="auto"/>
        <w:rPr>
          <w:sz w:val="20"/>
          <w:szCs w:val="24"/>
          <w:lang w:val="fr-FR"/>
        </w:rPr>
      </w:pPr>
    </w:p>
    <w:p w14:paraId="30CA1636" w14:textId="3BC3EE68" w:rsidR="002A642E" w:rsidRDefault="002A642E">
      <w:pPr>
        <w:rPr>
          <w:sz w:val="20"/>
          <w:szCs w:val="24"/>
          <w:lang w:val="fr-FR"/>
        </w:rPr>
      </w:pPr>
      <w:r>
        <w:rPr>
          <w:sz w:val="20"/>
          <w:szCs w:val="24"/>
          <w:lang w:val="fr-FR"/>
        </w:rPr>
        <w:t>* Arrêté Royal du 21 avril 2007 fixant les normes de sécurité et les autres normes applicables au défibrillateur externe automatique utilisé; publié au Moniteur belge du 18 mai 2007.</w:t>
      </w:r>
    </w:p>
    <w:p w14:paraId="30CA1637" w14:textId="77777777" w:rsidR="002A642E" w:rsidRDefault="002A642E">
      <w:pPr>
        <w:spacing w:before="120" w:after="240"/>
        <w:rPr>
          <w:b/>
          <w:sz w:val="20"/>
          <w:szCs w:val="24"/>
          <w:u w:val="single"/>
          <w:lang w:val="fr-FR"/>
        </w:rPr>
      </w:pPr>
    </w:p>
    <w:sectPr w:rsidR="002A642E">
      <w:headerReference w:type="default" r:id="rId15"/>
      <w:footerReference w:type="default" r:id="rId16"/>
      <w:footerReference w:type="first" r:id="rId17"/>
      <w:pgSz w:w="16838" w:h="11906" w:orient="landscape" w:code="9"/>
      <w:pgMar w:top="1843" w:right="678" w:bottom="709" w:left="1418" w:header="709"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163A" w14:textId="77777777" w:rsidR="00EF78FC" w:rsidRDefault="00EF78FC">
      <w:pPr>
        <w:rPr>
          <w:szCs w:val="24"/>
        </w:rPr>
      </w:pPr>
      <w:r>
        <w:rPr>
          <w:szCs w:val="24"/>
        </w:rPr>
        <w:separator/>
      </w:r>
    </w:p>
  </w:endnote>
  <w:endnote w:type="continuationSeparator" w:id="0">
    <w:p w14:paraId="30CA163B" w14:textId="77777777" w:rsidR="00EF78FC" w:rsidRDefault="00EF78F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163D" w14:textId="5A56682E" w:rsidR="002A642E" w:rsidRDefault="00A86033">
    <w:pPr>
      <w:pStyle w:val="Footer"/>
      <w:tabs>
        <w:tab w:val="clear" w:pos="9072"/>
        <w:tab w:val="right" w:pos="9214"/>
      </w:tabs>
      <w:jc w:val="right"/>
      <w:rPr>
        <w:noProof/>
        <w:szCs w:val="24"/>
      </w:rPr>
    </w:pPr>
    <w:r>
      <w:rPr>
        <w:rFonts w:ascii="Arial Narrow" w:hAnsi="Arial Narrow"/>
        <w:noProof/>
        <w:sz w:val="10"/>
        <w:szCs w:val="24"/>
      </w:rPr>
      <w:drawing>
        <wp:anchor distT="0" distB="0" distL="114300" distR="114300" simplePos="0" relativeHeight="251662336" behindDoc="1" locked="0" layoutInCell="1" allowOverlap="1" wp14:anchorId="485C5253" wp14:editId="3FE1E7A2">
          <wp:simplePos x="0" y="0"/>
          <wp:positionH relativeFrom="column">
            <wp:posOffset>-125019</wp:posOffset>
          </wp:positionH>
          <wp:positionV relativeFrom="paragraph">
            <wp:posOffset>-686867</wp:posOffset>
          </wp:positionV>
          <wp:extent cx="9480499" cy="118872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0388" cy="1189960"/>
                  </a:xfrm>
                  <a:prstGeom prst="rect">
                    <a:avLst/>
                  </a:prstGeom>
                  <a:noFill/>
                </pic:spPr>
              </pic:pic>
            </a:graphicData>
          </a:graphic>
          <wp14:sizeRelH relativeFrom="page">
            <wp14:pctWidth>0</wp14:pctWidth>
          </wp14:sizeRelH>
          <wp14:sizeRelV relativeFrom="page">
            <wp14:pctHeight>0</wp14:pctHeight>
          </wp14:sizeRelV>
        </wp:anchor>
      </w:drawing>
    </w:r>
    <w:r w:rsidR="00234882">
      <w:rPr>
        <w:noProof/>
        <w:snapToGrid/>
        <w:lang w:val="en-US" w:eastAsia="en-US"/>
      </w:rPr>
      <mc:AlternateContent>
        <mc:Choice Requires="wps">
          <w:drawing>
            <wp:anchor distT="0" distB="0" distL="114300" distR="114300" simplePos="0" relativeHeight="251658240" behindDoc="0" locked="0" layoutInCell="1" allowOverlap="1" wp14:anchorId="30CA1642" wp14:editId="60BD8097">
              <wp:simplePos x="0" y="0"/>
              <wp:positionH relativeFrom="page">
                <wp:posOffset>300355</wp:posOffset>
              </wp:positionH>
              <wp:positionV relativeFrom="page">
                <wp:posOffset>10557510</wp:posOffset>
              </wp:positionV>
              <wp:extent cx="1133475" cy="1936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1650" w14:textId="77777777" w:rsidR="002A642E" w:rsidRDefault="002A642E">
                          <w:pPr>
                            <w:rPr>
                              <w:szCs w:val="24"/>
                            </w:rPr>
                          </w:pPr>
                          <w:r>
                            <w:rPr>
                              <w:rFonts w:ascii="Arial Narrow" w:hAnsi="Arial Narrow"/>
                              <w:b/>
                              <w:sz w:val="14"/>
                              <w:szCs w:val="24"/>
                            </w:rPr>
                            <w:t>FINF 02 09 04.V1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A1642" id="_x0000_t202" coordsize="21600,21600" o:spt="202" path="m,l,21600r21600,l21600,xe">
              <v:stroke joinstyle="miter"/>
              <v:path gradientshapeok="t" o:connecttype="rect"/>
            </v:shapetype>
            <v:shape id="Text Box 22" o:spid="_x0000_s1026" type="#_x0000_t202" style="position:absolute;left:0;text-align:left;margin-left:23.65pt;margin-top:831.3pt;width:89.25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" filled="f" stroked="f">
              <v:textbox style="mso-fit-shape-to-text:t">
                <w:txbxContent>
                  <w:p w14:paraId="30CA1650" w14:textId="77777777" w:rsidR="002A642E" w:rsidRDefault="002A642E">
                    <w:pPr>
                      <w:rPr>
                        <w:szCs w:val="24"/>
                      </w:rPr>
                    </w:pPr>
                    <w:r>
                      <w:rPr>
                        <w:rFonts w:ascii="Arial Narrow" w:hAnsi="Arial Narrow"/>
                        <w:b/>
                        <w:sz w:val="14"/>
                        <w:szCs w:val="24"/>
                      </w:rPr>
                      <w:t>FINF 02 09 04.V1</w:t>
                    </w:r>
                  </w:p>
                </w:txbxContent>
              </v:textbox>
              <w10:wrap anchorx="page" anchory="page"/>
            </v:shape>
          </w:pict>
        </mc:Fallback>
      </mc:AlternateContent>
    </w:r>
    <w:r w:rsidR="00234882">
      <w:rPr>
        <w:noProof/>
        <w:snapToGrid/>
        <w:lang w:val="en-US" w:eastAsia="en-US"/>
      </w:rPr>
      <w:drawing>
        <wp:anchor distT="0" distB="0" distL="114300" distR="114300" simplePos="0" relativeHeight="251659264" behindDoc="1" locked="0" layoutInCell="1" allowOverlap="1" wp14:anchorId="30CA1644" wp14:editId="30CA1645">
          <wp:simplePos x="0" y="0"/>
          <wp:positionH relativeFrom="page">
            <wp:posOffset>300355</wp:posOffset>
          </wp:positionH>
          <wp:positionV relativeFrom="page">
            <wp:posOffset>9327515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234882">
      <w:rPr>
        <w:noProof/>
        <w:snapToGrid/>
        <w:lang w:val="en-US" w:eastAsia="en-US"/>
      </w:rPr>
      <w:drawing>
        <wp:anchor distT="0" distB="0" distL="114300" distR="114300" simplePos="0" relativeHeight="251655168" behindDoc="1" locked="0" layoutInCell="1" allowOverlap="1" wp14:anchorId="30CA1646" wp14:editId="30CA1647">
          <wp:simplePos x="0" y="0"/>
          <wp:positionH relativeFrom="page">
            <wp:posOffset>175895</wp:posOffset>
          </wp:positionH>
          <wp:positionV relativeFrom="page">
            <wp:posOffset>9186545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4"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234882">
      <w:rPr>
        <w:noProof/>
        <w:snapToGrid/>
        <w:lang w:val="en-US" w:eastAsia="en-US"/>
      </w:rPr>
      <mc:AlternateContent>
        <mc:Choice Requires="wps">
          <w:drawing>
            <wp:anchor distT="0" distB="0" distL="114300" distR="114300" simplePos="0" relativeHeight="251656192" behindDoc="0" locked="0" layoutInCell="1" allowOverlap="1" wp14:anchorId="30CA1648" wp14:editId="46CEACD8">
              <wp:simplePos x="0" y="0"/>
              <wp:positionH relativeFrom="page">
                <wp:posOffset>147955</wp:posOffset>
              </wp:positionH>
              <wp:positionV relativeFrom="page">
                <wp:posOffset>10405110</wp:posOffset>
              </wp:positionV>
              <wp:extent cx="1133475" cy="193675"/>
              <wp:effectExtent l="0" t="381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1651" w14:textId="77777777" w:rsidR="002A642E" w:rsidRDefault="002A642E">
                          <w:pPr>
                            <w:rPr>
                              <w:rFonts w:ascii="Arial Narrow" w:hAnsi="Arial Narrow"/>
                              <w:b/>
                              <w:sz w:val="14"/>
                              <w:szCs w:val="24"/>
                              <w:lang w:val="en-US"/>
                            </w:rPr>
                          </w:pPr>
                          <w:r>
                            <w:rPr>
                              <w:rFonts w:ascii="Arial Narrow" w:hAnsi="Arial Narrow"/>
                              <w:b/>
                              <w:sz w:val="14"/>
                              <w:szCs w:val="24"/>
                            </w:rPr>
                            <w:t>NINF 02 09 23 V1 NI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CA1648" id="Text Box 2" o:spid="_x0000_s1027" type="#_x0000_t202" style="position:absolute;left:0;text-align:left;margin-left:11.65pt;margin-top:819.3pt;width:89.25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" filled="f" stroked="f">
              <v:textbox style="mso-fit-shape-to-text:t">
                <w:txbxContent>
                  <w:p w14:paraId="30CA1651" w14:textId="77777777" w:rsidR="002A642E" w:rsidRDefault="002A642E">
                    <w:pPr>
                      <w:rPr>
                        <w:rFonts w:ascii="Arial Narrow" w:hAnsi="Arial Narrow"/>
                        <w:b/>
                        <w:sz w:val="14"/>
                        <w:szCs w:val="24"/>
                        <w:lang w:val="en-US"/>
                      </w:rPr>
                    </w:pPr>
                    <w:r>
                      <w:rPr>
                        <w:rFonts w:ascii="Arial Narrow" w:hAnsi="Arial Narrow"/>
                        <w:b/>
                        <w:sz w:val="14"/>
                        <w:szCs w:val="24"/>
                      </w:rPr>
                      <w:t>NINF 02 09 23 V1 NI</w:t>
                    </w:r>
                  </w:p>
                </w:txbxContent>
              </v:textbox>
              <w10:wrap anchorx="page" anchory="page"/>
            </v:shape>
          </w:pict>
        </mc:Fallback>
      </mc:AlternateContent>
    </w:r>
    <w:r w:rsidR="002A642E">
      <w:rPr>
        <w:rFonts w:ascii="Arial Narrow" w:hAnsi="Arial Narrow"/>
        <w:noProof/>
        <w:sz w:val="10"/>
        <w:szCs w:val="24"/>
      </w:rPr>
      <w:t>.</w:t>
    </w:r>
    <w:r w:rsidR="002A642E">
      <w:rPr>
        <w:szCs w:val="24"/>
      </w:rPr>
      <w:fldChar w:fldCharType="begin"/>
    </w:r>
    <w:r w:rsidR="002A642E">
      <w:rPr>
        <w:szCs w:val="24"/>
      </w:rPr>
      <w:instrText xml:space="preserve"> PAGE   \* MERGEFORMAT </w:instrText>
    </w:r>
    <w:r w:rsidR="002A642E">
      <w:rPr>
        <w:szCs w:val="24"/>
      </w:rPr>
      <w:fldChar w:fldCharType="separate"/>
    </w:r>
    <w:r w:rsidR="006C7927">
      <w:rPr>
        <w:noProof/>
        <w:szCs w:val="24"/>
      </w:rPr>
      <w:t>3</w:t>
    </w:r>
    <w:r w:rsidR="002A642E">
      <w:rPr>
        <w:szCs w:val="24"/>
      </w:rPr>
      <w:fldChar w:fldCharType="end"/>
    </w:r>
    <w:r w:rsidR="002A642E">
      <w:rPr>
        <w:noProof/>
        <w:szCs w:val="24"/>
      </w:rPr>
      <w:t xml:space="preserve">/ </w:t>
    </w:r>
    <w:r w:rsidR="002A642E">
      <w:rPr>
        <w:szCs w:val="24"/>
      </w:rPr>
      <w:fldChar w:fldCharType="begin"/>
    </w:r>
    <w:r w:rsidR="002A642E">
      <w:rPr>
        <w:szCs w:val="24"/>
      </w:rPr>
      <w:instrText xml:space="preserve"> NUMPAGES   \* MERGEFORMAT </w:instrText>
    </w:r>
    <w:r w:rsidR="002A642E">
      <w:rPr>
        <w:szCs w:val="24"/>
      </w:rPr>
      <w:fldChar w:fldCharType="separate"/>
    </w:r>
    <w:r w:rsidR="006C7927">
      <w:rPr>
        <w:noProof/>
        <w:szCs w:val="24"/>
      </w:rPr>
      <w:t>3</w:t>
    </w:r>
    <w:r w:rsidR="002A642E">
      <w:rPr>
        <w:szCs w:val="24"/>
      </w:rPr>
      <w:fldChar w:fldCharType="end"/>
    </w:r>
  </w:p>
  <w:p w14:paraId="30CA163E" w14:textId="60838DE9" w:rsidR="002A642E" w:rsidRDefault="00234882">
    <w:pPr>
      <w:pStyle w:val="Footer"/>
      <w:tabs>
        <w:tab w:val="clear" w:pos="9072"/>
        <w:tab w:val="right" w:pos="9214"/>
      </w:tabs>
      <w:jc w:val="right"/>
      <w:rPr>
        <w:szCs w:val="24"/>
      </w:rPr>
    </w:pPr>
    <w:r>
      <w:rPr>
        <w:noProof/>
        <w:snapToGrid/>
        <w:lang w:val="en-US" w:eastAsia="en-US"/>
      </w:rPr>
      <mc:AlternateContent>
        <mc:Choice Requires="wps">
          <w:drawing>
            <wp:anchor distT="0" distB="0" distL="114300" distR="114300" simplePos="0" relativeHeight="251654144" behindDoc="0" locked="0" layoutInCell="1" allowOverlap="1" wp14:anchorId="30CA164A" wp14:editId="6155EB6F">
              <wp:simplePos x="0" y="0"/>
              <wp:positionH relativeFrom="column">
                <wp:posOffset>-3810</wp:posOffset>
              </wp:positionH>
              <wp:positionV relativeFrom="paragraph">
                <wp:posOffset>352527</wp:posOffset>
              </wp:positionV>
              <wp:extent cx="1598549" cy="203200"/>
              <wp:effectExtent l="0" t="0" r="20955"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549" cy="203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0CA1652" w14:textId="7C511869" w:rsidR="002A642E" w:rsidRDefault="00376745">
                          <w:pPr>
                            <w:rPr>
                              <w:b/>
                              <w:color w:val="808080"/>
                              <w:sz w:val="14"/>
                              <w:szCs w:val="24"/>
                            </w:rPr>
                          </w:pPr>
                          <w:r>
                            <w:rPr>
                              <w:b/>
                              <w:color w:val="808080"/>
                              <w:sz w:val="14"/>
                              <w:szCs w:val="24"/>
                            </w:rPr>
                            <w:t>FSTD_codex0105_FOR_15 V01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CA164A" id="Text Box 6" o:spid="_x0000_s1028" type="#_x0000_t202" style="position:absolute;left:0;text-align:left;margin-left:-.3pt;margin-top:27.75pt;width:125.85pt;height: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" filled="f" strokecolor="white">
              <v:textbox style="mso-fit-shape-to-text:t">
                <w:txbxContent>
                  <w:p w14:paraId="30CA1652" w14:textId="7C511869" w:rsidR="002A642E" w:rsidRDefault="00376745">
                    <w:pPr>
                      <w:rPr>
                        <w:b/>
                        <w:color w:val="808080"/>
                        <w:sz w:val="14"/>
                        <w:szCs w:val="24"/>
                      </w:rPr>
                    </w:pPr>
                    <w:r>
                      <w:rPr>
                        <w:b/>
                        <w:color w:val="808080"/>
                        <w:sz w:val="14"/>
                        <w:szCs w:val="24"/>
                      </w:rPr>
                      <w:t>FSTD_codex0105_FOR_15 V01</w:t>
                    </w:r>
                  </w:p>
                </w:txbxContent>
              </v:textbox>
            </v:shape>
          </w:pict>
        </mc:Fallback>
      </mc:AlternateContent>
    </w:r>
    <w:r>
      <w:rPr>
        <w:noProof/>
        <w:snapToGrid/>
        <w:lang w:val="en-US" w:eastAsia="en-US"/>
      </w:rPr>
      <w:drawing>
        <wp:anchor distT="0" distB="0" distL="114300" distR="114300" simplePos="0" relativeHeight="251661312" behindDoc="1" locked="0" layoutInCell="1" allowOverlap="1" wp14:anchorId="30CA164C" wp14:editId="30CA164D">
          <wp:simplePos x="0" y="0"/>
          <wp:positionH relativeFrom="page">
            <wp:posOffset>500380</wp:posOffset>
          </wp:positionH>
          <wp:positionV relativeFrom="page">
            <wp:posOffset>9092565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60288" behindDoc="1" locked="0" layoutInCell="1" allowOverlap="1" wp14:anchorId="30CA164E" wp14:editId="5A7A8E37">
          <wp:simplePos x="0" y="0"/>
          <wp:positionH relativeFrom="page">
            <wp:posOffset>738505</wp:posOffset>
          </wp:positionH>
          <wp:positionV relativeFrom="page">
            <wp:posOffset>9340215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163F" w14:textId="77777777" w:rsidR="002A642E" w:rsidRDefault="002A642E">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r>
      <w:rPr>
        <w:szCs w:val="24"/>
      </w:rPr>
      <w:t>/</w:t>
    </w:r>
    <w:r>
      <w:rPr>
        <w:szCs w:val="24"/>
      </w:rPr>
      <w:fldChar w:fldCharType="begin"/>
    </w:r>
    <w:r>
      <w:rPr>
        <w:szCs w:val="24"/>
      </w:rPr>
      <w:instrText xml:space="preserve"> NUMPAGES   \* MERGEFORMAT </w:instrText>
    </w:r>
    <w:r>
      <w:rPr>
        <w:szCs w:val="24"/>
      </w:rPr>
      <w:fldChar w:fldCharType="separate"/>
    </w:r>
    <w:r>
      <w:rPr>
        <w:noProof/>
        <w:szCs w:val="24"/>
      </w:rPr>
      <w:t>2</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1638" w14:textId="77777777" w:rsidR="00EF78FC" w:rsidRDefault="00EF78FC">
      <w:pPr>
        <w:rPr>
          <w:szCs w:val="24"/>
        </w:rPr>
      </w:pPr>
      <w:r>
        <w:rPr>
          <w:szCs w:val="24"/>
        </w:rPr>
        <w:separator/>
      </w:r>
    </w:p>
  </w:footnote>
  <w:footnote w:type="continuationSeparator" w:id="0">
    <w:p w14:paraId="30CA1639" w14:textId="77777777" w:rsidR="00EF78FC" w:rsidRDefault="00EF78F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163C" w14:textId="77777777" w:rsidR="002A642E" w:rsidRDefault="00234882">
    <w:pPr>
      <w:pStyle w:val="Header"/>
      <w:rPr>
        <w:szCs w:val="24"/>
      </w:rPr>
    </w:pPr>
    <w:r>
      <w:rPr>
        <w:noProof/>
        <w:snapToGrid/>
        <w:lang w:val="en-US" w:eastAsia="en-US"/>
      </w:rPr>
      <w:drawing>
        <wp:anchor distT="0" distB="0" distL="114300" distR="114300" simplePos="0" relativeHeight="251657216" behindDoc="1" locked="0" layoutInCell="1" allowOverlap="1" wp14:anchorId="30CA1640" wp14:editId="30CA1641">
          <wp:simplePos x="0" y="0"/>
          <wp:positionH relativeFrom="column">
            <wp:posOffset>-575310</wp:posOffset>
          </wp:positionH>
          <wp:positionV relativeFrom="paragraph">
            <wp:posOffset>149860</wp:posOffset>
          </wp:positionV>
          <wp:extent cx="1888490" cy="628650"/>
          <wp:effectExtent l="0" t="0" r="0" b="0"/>
          <wp:wrapThrough wrapText="bothSides">
            <wp:wrapPolygon edited="0">
              <wp:start x="0" y="0"/>
              <wp:lineTo x="0" y="20945"/>
              <wp:lineTo x="21353" y="20945"/>
              <wp:lineTo x="21353" y="0"/>
              <wp:lineTo x="0" y="0"/>
            </wp:wrapPolygon>
          </wp:wrapThrough>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cs="Times New Roman" w:hint="default"/>
      </w:rPr>
    </w:lvl>
    <w:lvl w:ilvl="1" w:tplc="85E87794">
      <w:start w:val="3"/>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7A208B"/>
    <w:multiLevelType w:val="hybridMultilevel"/>
    <w:tmpl w:val="A4CCCD76"/>
    <w:lvl w:ilvl="0" w:tplc="A678B1BA">
      <w:numFmt w:val="bullet"/>
      <w:lvlText w:val="-"/>
      <w:lvlJc w:val="left"/>
      <w:pPr>
        <w:ind w:left="786"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0666"/>
    <w:multiLevelType w:val="hybridMultilevel"/>
    <w:tmpl w:val="39A2620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15:restartNumberingAfterBreak="0">
    <w:nsid w:val="311D620B"/>
    <w:multiLevelType w:val="hybridMultilevel"/>
    <w:tmpl w:val="183E5F5E"/>
    <w:lvl w:ilvl="0" w:tplc="17243264">
      <w:start w:val="1"/>
      <w:numFmt w:val="bullet"/>
      <w:lvlText w:val="–"/>
      <w:lvlJc w:val="left"/>
      <w:pPr>
        <w:tabs>
          <w:tab w:val="num" w:pos="720"/>
        </w:tabs>
        <w:ind w:left="720" w:hanging="360"/>
      </w:pPr>
      <w:rPr>
        <w:rFonts w:ascii="Times New Roman" w:hAnsi="Times New Roman" w:hint="default"/>
      </w:rPr>
    </w:lvl>
    <w:lvl w:ilvl="1" w:tplc="717C0980">
      <w:start w:val="1"/>
      <w:numFmt w:val="bullet"/>
      <w:lvlText w:val="–"/>
      <w:lvlJc w:val="left"/>
      <w:pPr>
        <w:tabs>
          <w:tab w:val="num" w:pos="1440"/>
        </w:tabs>
        <w:ind w:left="1440" w:hanging="360"/>
      </w:pPr>
      <w:rPr>
        <w:rFonts w:ascii="Times New Roman" w:hAnsi="Times New Roman" w:hint="default"/>
      </w:rPr>
    </w:lvl>
    <w:lvl w:ilvl="2" w:tplc="C22A6A6E" w:tentative="1">
      <w:start w:val="1"/>
      <w:numFmt w:val="bullet"/>
      <w:lvlText w:val="–"/>
      <w:lvlJc w:val="left"/>
      <w:pPr>
        <w:tabs>
          <w:tab w:val="num" w:pos="2160"/>
        </w:tabs>
        <w:ind w:left="2160" w:hanging="360"/>
      </w:pPr>
      <w:rPr>
        <w:rFonts w:ascii="Times New Roman" w:hAnsi="Times New Roman" w:hint="default"/>
      </w:rPr>
    </w:lvl>
    <w:lvl w:ilvl="3" w:tplc="6A8625F2" w:tentative="1">
      <w:start w:val="1"/>
      <w:numFmt w:val="bullet"/>
      <w:lvlText w:val="–"/>
      <w:lvlJc w:val="left"/>
      <w:pPr>
        <w:tabs>
          <w:tab w:val="num" w:pos="2880"/>
        </w:tabs>
        <w:ind w:left="2880" w:hanging="360"/>
      </w:pPr>
      <w:rPr>
        <w:rFonts w:ascii="Times New Roman" w:hAnsi="Times New Roman" w:hint="default"/>
      </w:rPr>
    </w:lvl>
    <w:lvl w:ilvl="4" w:tplc="16A408A6" w:tentative="1">
      <w:start w:val="1"/>
      <w:numFmt w:val="bullet"/>
      <w:lvlText w:val="–"/>
      <w:lvlJc w:val="left"/>
      <w:pPr>
        <w:tabs>
          <w:tab w:val="num" w:pos="3600"/>
        </w:tabs>
        <w:ind w:left="3600" w:hanging="360"/>
      </w:pPr>
      <w:rPr>
        <w:rFonts w:ascii="Times New Roman" w:hAnsi="Times New Roman" w:hint="default"/>
      </w:rPr>
    </w:lvl>
    <w:lvl w:ilvl="5" w:tplc="3D320940" w:tentative="1">
      <w:start w:val="1"/>
      <w:numFmt w:val="bullet"/>
      <w:lvlText w:val="–"/>
      <w:lvlJc w:val="left"/>
      <w:pPr>
        <w:tabs>
          <w:tab w:val="num" w:pos="4320"/>
        </w:tabs>
        <w:ind w:left="4320" w:hanging="360"/>
      </w:pPr>
      <w:rPr>
        <w:rFonts w:ascii="Times New Roman" w:hAnsi="Times New Roman" w:hint="default"/>
      </w:rPr>
    </w:lvl>
    <w:lvl w:ilvl="6" w:tplc="1FB495B0" w:tentative="1">
      <w:start w:val="1"/>
      <w:numFmt w:val="bullet"/>
      <w:lvlText w:val="–"/>
      <w:lvlJc w:val="left"/>
      <w:pPr>
        <w:tabs>
          <w:tab w:val="num" w:pos="5040"/>
        </w:tabs>
        <w:ind w:left="5040" w:hanging="360"/>
      </w:pPr>
      <w:rPr>
        <w:rFonts w:ascii="Times New Roman" w:hAnsi="Times New Roman" w:hint="default"/>
      </w:rPr>
    </w:lvl>
    <w:lvl w:ilvl="7" w:tplc="14A4190E" w:tentative="1">
      <w:start w:val="1"/>
      <w:numFmt w:val="bullet"/>
      <w:lvlText w:val="–"/>
      <w:lvlJc w:val="left"/>
      <w:pPr>
        <w:tabs>
          <w:tab w:val="num" w:pos="5760"/>
        </w:tabs>
        <w:ind w:left="5760" w:hanging="360"/>
      </w:pPr>
      <w:rPr>
        <w:rFonts w:ascii="Times New Roman" w:hAnsi="Times New Roman" w:hint="default"/>
      </w:rPr>
    </w:lvl>
    <w:lvl w:ilvl="8" w:tplc="B73064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CD24C1"/>
    <w:multiLevelType w:val="hybridMultilevel"/>
    <w:tmpl w:val="60B2E12E"/>
    <w:lvl w:ilvl="0" w:tplc="6632FAA6">
      <w:start w:val="1"/>
      <w:numFmt w:val="bullet"/>
      <w:lvlText w:val="–"/>
      <w:lvlJc w:val="left"/>
      <w:pPr>
        <w:tabs>
          <w:tab w:val="num" w:pos="720"/>
        </w:tabs>
        <w:ind w:left="720" w:hanging="360"/>
      </w:pPr>
      <w:rPr>
        <w:rFonts w:ascii="Times New Roman" w:hAnsi="Times New Roman" w:hint="default"/>
      </w:rPr>
    </w:lvl>
    <w:lvl w:ilvl="1" w:tplc="74CC4800">
      <w:start w:val="1"/>
      <w:numFmt w:val="bullet"/>
      <w:lvlText w:val="–"/>
      <w:lvlJc w:val="left"/>
      <w:pPr>
        <w:tabs>
          <w:tab w:val="num" w:pos="1440"/>
        </w:tabs>
        <w:ind w:left="1440" w:hanging="360"/>
      </w:pPr>
      <w:rPr>
        <w:rFonts w:ascii="Times New Roman" w:hAnsi="Times New Roman" w:hint="default"/>
      </w:rPr>
    </w:lvl>
    <w:lvl w:ilvl="2" w:tplc="74209100" w:tentative="1">
      <w:start w:val="1"/>
      <w:numFmt w:val="bullet"/>
      <w:lvlText w:val="–"/>
      <w:lvlJc w:val="left"/>
      <w:pPr>
        <w:tabs>
          <w:tab w:val="num" w:pos="2160"/>
        </w:tabs>
        <w:ind w:left="2160" w:hanging="360"/>
      </w:pPr>
      <w:rPr>
        <w:rFonts w:ascii="Times New Roman" w:hAnsi="Times New Roman" w:hint="default"/>
      </w:rPr>
    </w:lvl>
    <w:lvl w:ilvl="3" w:tplc="428670DC" w:tentative="1">
      <w:start w:val="1"/>
      <w:numFmt w:val="bullet"/>
      <w:lvlText w:val="–"/>
      <w:lvlJc w:val="left"/>
      <w:pPr>
        <w:tabs>
          <w:tab w:val="num" w:pos="2880"/>
        </w:tabs>
        <w:ind w:left="2880" w:hanging="360"/>
      </w:pPr>
      <w:rPr>
        <w:rFonts w:ascii="Times New Roman" w:hAnsi="Times New Roman" w:hint="default"/>
      </w:rPr>
    </w:lvl>
    <w:lvl w:ilvl="4" w:tplc="12EA12E4" w:tentative="1">
      <w:start w:val="1"/>
      <w:numFmt w:val="bullet"/>
      <w:lvlText w:val="–"/>
      <w:lvlJc w:val="left"/>
      <w:pPr>
        <w:tabs>
          <w:tab w:val="num" w:pos="3600"/>
        </w:tabs>
        <w:ind w:left="3600" w:hanging="360"/>
      </w:pPr>
      <w:rPr>
        <w:rFonts w:ascii="Times New Roman" w:hAnsi="Times New Roman" w:hint="default"/>
      </w:rPr>
    </w:lvl>
    <w:lvl w:ilvl="5" w:tplc="FF9EFADC" w:tentative="1">
      <w:start w:val="1"/>
      <w:numFmt w:val="bullet"/>
      <w:lvlText w:val="–"/>
      <w:lvlJc w:val="left"/>
      <w:pPr>
        <w:tabs>
          <w:tab w:val="num" w:pos="4320"/>
        </w:tabs>
        <w:ind w:left="4320" w:hanging="360"/>
      </w:pPr>
      <w:rPr>
        <w:rFonts w:ascii="Times New Roman" w:hAnsi="Times New Roman" w:hint="default"/>
      </w:rPr>
    </w:lvl>
    <w:lvl w:ilvl="6" w:tplc="6E148498" w:tentative="1">
      <w:start w:val="1"/>
      <w:numFmt w:val="bullet"/>
      <w:lvlText w:val="–"/>
      <w:lvlJc w:val="left"/>
      <w:pPr>
        <w:tabs>
          <w:tab w:val="num" w:pos="5040"/>
        </w:tabs>
        <w:ind w:left="5040" w:hanging="360"/>
      </w:pPr>
      <w:rPr>
        <w:rFonts w:ascii="Times New Roman" w:hAnsi="Times New Roman" w:hint="default"/>
      </w:rPr>
    </w:lvl>
    <w:lvl w:ilvl="7" w:tplc="3ECC637E" w:tentative="1">
      <w:start w:val="1"/>
      <w:numFmt w:val="bullet"/>
      <w:lvlText w:val="–"/>
      <w:lvlJc w:val="left"/>
      <w:pPr>
        <w:tabs>
          <w:tab w:val="num" w:pos="5760"/>
        </w:tabs>
        <w:ind w:left="5760" w:hanging="360"/>
      </w:pPr>
      <w:rPr>
        <w:rFonts w:ascii="Times New Roman" w:hAnsi="Times New Roman" w:hint="default"/>
      </w:rPr>
    </w:lvl>
    <w:lvl w:ilvl="8" w:tplc="60760B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910F3C"/>
    <w:multiLevelType w:val="hybridMultilevel"/>
    <w:tmpl w:val="35B6177E"/>
    <w:lvl w:ilvl="0" w:tplc="0813000F">
      <w:start w:val="1"/>
      <w:numFmt w:val="decimal"/>
      <w:lvlText w:val="%1."/>
      <w:lvlJc w:val="left"/>
      <w:pPr>
        <w:ind w:left="720" w:hanging="360"/>
      </w:pPr>
      <w:rPr>
        <w:rFonts w:cs="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66800"/>
    <w:rsid w:val="000868DA"/>
    <w:rsid w:val="00090DBF"/>
    <w:rsid w:val="000B5D2C"/>
    <w:rsid w:val="000C0B46"/>
    <w:rsid w:val="000E3CF9"/>
    <w:rsid w:val="000F5D43"/>
    <w:rsid w:val="001272E5"/>
    <w:rsid w:val="00136D97"/>
    <w:rsid w:val="00147CDF"/>
    <w:rsid w:val="00150CCB"/>
    <w:rsid w:val="00156F02"/>
    <w:rsid w:val="001646E8"/>
    <w:rsid w:val="001674B3"/>
    <w:rsid w:val="00185C06"/>
    <w:rsid w:val="001A70B6"/>
    <w:rsid w:val="001C27CB"/>
    <w:rsid w:val="001E034A"/>
    <w:rsid w:val="001E7F11"/>
    <w:rsid w:val="00211839"/>
    <w:rsid w:val="00212F32"/>
    <w:rsid w:val="00214923"/>
    <w:rsid w:val="00216B14"/>
    <w:rsid w:val="00234882"/>
    <w:rsid w:val="00260CFC"/>
    <w:rsid w:val="002A489E"/>
    <w:rsid w:val="002A642E"/>
    <w:rsid w:val="002C1C83"/>
    <w:rsid w:val="002D5E16"/>
    <w:rsid w:val="00302A3E"/>
    <w:rsid w:val="003059DB"/>
    <w:rsid w:val="00311C54"/>
    <w:rsid w:val="00315D71"/>
    <w:rsid w:val="00337BA3"/>
    <w:rsid w:val="003618AA"/>
    <w:rsid w:val="00364D5A"/>
    <w:rsid w:val="00376745"/>
    <w:rsid w:val="00376842"/>
    <w:rsid w:val="003841CC"/>
    <w:rsid w:val="003C049F"/>
    <w:rsid w:val="003D40A6"/>
    <w:rsid w:val="003E33D9"/>
    <w:rsid w:val="003E783C"/>
    <w:rsid w:val="00405135"/>
    <w:rsid w:val="004509DC"/>
    <w:rsid w:val="00467217"/>
    <w:rsid w:val="00497BA3"/>
    <w:rsid w:val="004C3A6F"/>
    <w:rsid w:val="004D099F"/>
    <w:rsid w:val="004D1CB1"/>
    <w:rsid w:val="004D60B3"/>
    <w:rsid w:val="004D71FC"/>
    <w:rsid w:val="004F2DEA"/>
    <w:rsid w:val="004F75C9"/>
    <w:rsid w:val="00504448"/>
    <w:rsid w:val="00511A82"/>
    <w:rsid w:val="005345B9"/>
    <w:rsid w:val="00551812"/>
    <w:rsid w:val="0055181C"/>
    <w:rsid w:val="00561EC3"/>
    <w:rsid w:val="005710A0"/>
    <w:rsid w:val="0059496F"/>
    <w:rsid w:val="005D5BD6"/>
    <w:rsid w:val="00603E74"/>
    <w:rsid w:val="00607013"/>
    <w:rsid w:val="00651682"/>
    <w:rsid w:val="00674EB9"/>
    <w:rsid w:val="006776F4"/>
    <w:rsid w:val="00680CFC"/>
    <w:rsid w:val="006C7927"/>
    <w:rsid w:val="006E60CE"/>
    <w:rsid w:val="006F245B"/>
    <w:rsid w:val="00725513"/>
    <w:rsid w:val="00761A2F"/>
    <w:rsid w:val="00777A79"/>
    <w:rsid w:val="00783BCB"/>
    <w:rsid w:val="00783D69"/>
    <w:rsid w:val="007C6E32"/>
    <w:rsid w:val="007D211A"/>
    <w:rsid w:val="007E749D"/>
    <w:rsid w:val="00804FF9"/>
    <w:rsid w:val="0081795A"/>
    <w:rsid w:val="0082294E"/>
    <w:rsid w:val="00823CBF"/>
    <w:rsid w:val="0083496A"/>
    <w:rsid w:val="00846AB1"/>
    <w:rsid w:val="00857DE0"/>
    <w:rsid w:val="00871923"/>
    <w:rsid w:val="00887A5E"/>
    <w:rsid w:val="00893B77"/>
    <w:rsid w:val="00894BE6"/>
    <w:rsid w:val="008A5022"/>
    <w:rsid w:val="008B260C"/>
    <w:rsid w:val="008B3842"/>
    <w:rsid w:val="008F32E0"/>
    <w:rsid w:val="0092414B"/>
    <w:rsid w:val="00930199"/>
    <w:rsid w:val="00955395"/>
    <w:rsid w:val="00996C45"/>
    <w:rsid w:val="0099731C"/>
    <w:rsid w:val="009B2315"/>
    <w:rsid w:val="009D1EF2"/>
    <w:rsid w:val="009D65C2"/>
    <w:rsid w:val="009E5294"/>
    <w:rsid w:val="00A2338E"/>
    <w:rsid w:val="00A34C06"/>
    <w:rsid w:val="00A54374"/>
    <w:rsid w:val="00A74366"/>
    <w:rsid w:val="00A744ED"/>
    <w:rsid w:val="00A829DB"/>
    <w:rsid w:val="00A86033"/>
    <w:rsid w:val="00AC5D5D"/>
    <w:rsid w:val="00AC72BA"/>
    <w:rsid w:val="00AD10DE"/>
    <w:rsid w:val="00AF4822"/>
    <w:rsid w:val="00AF69E7"/>
    <w:rsid w:val="00B146E3"/>
    <w:rsid w:val="00B171BD"/>
    <w:rsid w:val="00B17976"/>
    <w:rsid w:val="00B4024A"/>
    <w:rsid w:val="00B41CD1"/>
    <w:rsid w:val="00B43E34"/>
    <w:rsid w:val="00B50837"/>
    <w:rsid w:val="00B677B7"/>
    <w:rsid w:val="00B74502"/>
    <w:rsid w:val="00B91549"/>
    <w:rsid w:val="00BA21AB"/>
    <w:rsid w:val="00BA56D2"/>
    <w:rsid w:val="00BD1A7E"/>
    <w:rsid w:val="00BE1708"/>
    <w:rsid w:val="00BF7BE6"/>
    <w:rsid w:val="00C05224"/>
    <w:rsid w:val="00C05F08"/>
    <w:rsid w:val="00C16533"/>
    <w:rsid w:val="00C357DD"/>
    <w:rsid w:val="00C4711D"/>
    <w:rsid w:val="00C52599"/>
    <w:rsid w:val="00C57A53"/>
    <w:rsid w:val="00C80FE4"/>
    <w:rsid w:val="00CD638E"/>
    <w:rsid w:val="00D11449"/>
    <w:rsid w:val="00D3611E"/>
    <w:rsid w:val="00D54820"/>
    <w:rsid w:val="00D64613"/>
    <w:rsid w:val="00D735F0"/>
    <w:rsid w:val="00D8060A"/>
    <w:rsid w:val="00D91AE1"/>
    <w:rsid w:val="00D925D4"/>
    <w:rsid w:val="00DE2A01"/>
    <w:rsid w:val="00DE39FD"/>
    <w:rsid w:val="00DF41BF"/>
    <w:rsid w:val="00E02BD0"/>
    <w:rsid w:val="00E111DA"/>
    <w:rsid w:val="00E329DB"/>
    <w:rsid w:val="00E36F00"/>
    <w:rsid w:val="00E418E8"/>
    <w:rsid w:val="00E47221"/>
    <w:rsid w:val="00E60C13"/>
    <w:rsid w:val="00EA2384"/>
    <w:rsid w:val="00EB2C14"/>
    <w:rsid w:val="00ED4E45"/>
    <w:rsid w:val="00ED7005"/>
    <w:rsid w:val="00EE1F02"/>
    <w:rsid w:val="00EE4C0D"/>
    <w:rsid w:val="00EF63E4"/>
    <w:rsid w:val="00EF78FC"/>
    <w:rsid w:val="00F27A64"/>
    <w:rsid w:val="00F52B8A"/>
    <w:rsid w:val="00FA5A31"/>
    <w:rsid w:val="00FB4F26"/>
    <w:rsid w:val="00FB6003"/>
    <w:rsid w:val="00FD048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14:docId w14:val="30CA15DA"/>
  <w15:docId w15:val="{934E60A5-3E10-4D3E-96C5-45B8181E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FooterChar"/>
    <w:qFormat/>
    <w:rPr>
      <w:rFonts w:ascii="Arial" w:hAnsi="Arial"/>
      <w:snapToGrid w:val="0"/>
      <w:sz w:val="18"/>
      <w:szCs w:val="18"/>
      <w:lang w:val="nl-NL"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pPr>
      <w:tabs>
        <w:tab w:val="center" w:pos="4536"/>
        <w:tab w:val="right" w:pos="9072"/>
      </w:tabs>
    </w:pPr>
  </w:style>
  <w:style w:type="character" w:customStyle="1" w:styleId="FooterChar">
    <w:name w:val="Footer Char"/>
    <w:basedOn w:val="DefaultParagraphFont"/>
    <w:locked/>
    <w:rPr>
      <w:rFonts w:ascii="Arial" w:hAnsi="Arial" w:cs="Times New Roman"/>
      <w:sz w:val="18"/>
      <w:szCs w:val="18"/>
      <w:lang w:val="nl-NL"/>
    </w:rPr>
  </w:style>
  <w:style w:type="table" w:styleId="TableGrid">
    <w:name w:val="Table Grid"/>
    <w:basedOn w:val="TableNormal"/>
    <w:rPr>
      <w:snapToGrid w:val="0"/>
      <w:lang w:val="nl-B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paragraph" w:styleId="Header">
    <w:name w:val="header"/>
    <w:basedOn w:val="Normal"/>
    <w:pPr>
      <w:tabs>
        <w:tab w:val="center" w:pos="4536"/>
        <w:tab w:val="right" w:pos="9072"/>
      </w:tabs>
    </w:pPr>
  </w:style>
  <w:style w:type="character" w:customStyle="1" w:styleId="FooterChar1">
    <w:name w:val="Footer Char1"/>
    <w:basedOn w:val="DefaultParagraphFont"/>
    <w:link w:val="Footer"/>
    <w:semiHidden/>
    <w:locked/>
    <w:rPr>
      <w:rFonts w:ascii="Arial" w:hAnsi="Arial" w:cs="Times New Roman"/>
      <w:sz w:val="18"/>
      <w:szCs w:val="18"/>
      <w:lang w:val="nl-NL"/>
    </w:rPr>
  </w:style>
  <w:style w:type="paragraph" w:styleId="BalloonText">
    <w:name w:val="Balloon Text"/>
    <w:basedOn w:val="Normal"/>
    <w:semiHidden/>
    <w:rPr>
      <w:rFonts w:ascii="Times New Roman" w:hAnsi="Times New Roman"/>
      <w:sz w:val="16"/>
      <w:szCs w:val="16"/>
    </w:rPr>
  </w:style>
  <w:style w:type="character" w:customStyle="1" w:styleId="BalloonTextChar">
    <w:name w:val="Balloon Text Char"/>
    <w:basedOn w:val="DefaultParagraphFont"/>
    <w:semiHidden/>
    <w:locked/>
    <w:rPr>
      <w:rFonts w:cs="Times New Roman"/>
      <w:sz w:val="2"/>
      <w:lang w:val="nl-NL"/>
    </w:rPr>
  </w:style>
  <w:style w:type="paragraph" w:styleId="ListParagraph">
    <w:name w:val="List Paragraph"/>
    <w:basedOn w:val="Normal"/>
    <w:qFormat/>
    <w:pPr>
      <w:ind w:left="720"/>
      <w:contextualSpacing/>
    </w:pPr>
  </w:style>
  <w:style w:type="table" w:customStyle="1" w:styleId="TableGrid1">
    <w:name w:val="Table Grid1"/>
    <w:rPr>
      <w:rFonts w:ascii="Calibri" w:hAnsi="Calibri"/>
      <w:snapToGrid w:val="0"/>
      <w:sz w:val="22"/>
      <w:szCs w:val="22"/>
      <w:lang w:val="nl-BE"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rFonts w:ascii="Calibri" w:hAnsi="Calibri"/>
      <w:snapToGrid w:val="0"/>
      <w:sz w:val="22"/>
      <w:szCs w:val="22"/>
      <w:lang w:val="nl-BE"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st1">
    <w:name w:val="st1"/>
    <w:basedOn w:val="DefaultParagraphFont"/>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basedOn w:val="DefaultParagraphFont"/>
    <w:rsid w:val="00BF7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uscitatio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ealth.belgium.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suscitation.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dacteur xmlns="b12cf2b1-6157-4869-be7f-ac0bc6ac6ec7">
      <UserInfo>
        <DisplayName>Knops Kristel</DisplayName>
        <AccountId>595</AccountId>
        <AccountType/>
      </UserInfo>
    </Redacteur>
    <H_x0040_W_x0020__x002d__x0020_Afprinten_x0020_Manufast xmlns="b12cf2b1-6157-4869-be7f-ac0bc6ac6ec7" xsi:nil="true"/>
    <Andere xmlns="b12cf2b1-6157-4869-be7f-ac0bc6ac6ec7" xsi:nil="tru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Interventies en risico-analyses Gezondheidstoezicht</TermName>
          <TermId xmlns="http://schemas.microsoft.com/office/infopath/2007/PartnerControls">05358daf-6e99-4c45-997e-0fa373362d22</TermId>
        </TermInfo>
      </Terms>
    </a9be7425d6eb4bbcbe678a4f53592c2f>
    <Imago xmlns="b12cf2b1-6157-4869-be7f-ac0bc6ac6ec7" xsi:nil="true"/>
    <OpmerkingenbijH_x0040_W xmlns="b12cf2b1-6157-4869-be7f-ac0bc6ac6ec7" xsi:nil="true"/>
    <H_x0040_W xmlns="b12cf2b1-6157-4869-be7f-ac0bc6ac6ec7" xsi:nil="true"/>
    <Internet xmlns="b12cf2b1-6157-4869-be7f-ac0bc6ac6ec7" xsi:nil="true"/>
    <Valable_x0020_jusqu_x0027_au xmlns="b12cf2b1-6157-4869-be7f-ac0bc6ac6ec7">2022-05-17T22:00:00+00:00</Valable_x0020_jusqu_x0027_au>
    <TaxCatchAll xmlns="b12cf2b1-6157-4869-be7f-ac0bc6ac6ec7">
      <Value>82</Value>
      <Value>32</Value>
      <Value>2</Value>
    </TaxCatchAll>
    <Item_x0020_Language xmlns="cbc68e07-318d-4977-9c6d-10a9e49bd873">French</Item_x0020_Language>
    <Opmerkingen xmlns="b12cf2b1-6157-4869-be7f-ac0bc6ac6ec7" xsi:nil="true"/>
    <Documenttype xmlns="b12cf2b1-6157-4869-be7f-ac0bc6ac6ec7">3. Formulieren</Documenttype>
    <Goedkeurder xmlns="b12cf2b1-6157-4869-be7f-ac0bc6ac6ec7">
      <UserInfo>
        <DisplayName>Mussen  Lieve</DisplayName>
        <AccountId>317</AccountId>
        <AccountType/>
      </UserInfo>
    </Goedkeurder>
    <Versie_x0020__x0028_Kwaliteit_x0029_ xmlns="b12cf2b1-6157-4869-be7f-ac0bc6ac6ec7">2.0</Versie_x0020__x0028_Kwaliteit_x0029_>
    <Document_x0020__x0020_Actoren xmlns="cbc68e07-318d-4977-9c6d-10a9e49bd873">
      <UserInfo>
        <DisplayName/>
        <AccountId xsi:nil="true"/>
        <AccountType/>
      </UserInfo>
    </Document_x0020__x0020_Actoren>
    <Onderwerp xmlns="b12cf2b1-6157-4869-be7f-ac0bc6ac6ec7" xsi:nil="true"/>
    <Volgorde_x0020_SOP_x0027_s xmlns="cbc68e07-318d-4977-9c6d-10a9e49bd873" xsi:nil="true"/>
    <i08fc6447d1b4bd584e7bf00d065594a xmlns="cbc68e07-318d-4977-9c6d-10a9e49bd873">
      <Terms xmlns="http://schemas.microsoft.com/office/infopath/2007/PartnerControls"/>
    </i08fc6447d1b4bd584e7bf00d065594a>
    <H_x0040_W_x0020_Doc_x002e__x0020_nr_x002e_ xmlns="cbc68e07-318d-4977-9c6d-10a9e49bd873" xsi:nil="true"/>
    <Rank_x0020_intranet_x0020_pagina xmlns="cbc68e07-318d-4977-9c6d-10a9e49bd873" xsi:nil="true"/>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Dynamisch risicobeheer</TermName>
          <TermId xmlns="http://schemas.microsoft.com/office/infopath/2007/PartnerControls">aaa6a737-0794-4065-a584-049854f1d1b7</TermId>
        </TermInfo>
      </Terms>
    </ie733ae1a1894017bc2e9f0198850c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51" ma:contentTypeDescription="Create a new document." ma:contentTypeScope="" ma:versionID="3bfde9ef9f170d18660a81b4d0aebd7c">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d0dbc79dcf484cdcd413d2383211417f"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3:Item_x0020_Language"/>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Documenttype"/>
                <xsd:element ref="ns3:Volgorde_x0020_SOP_x0027_s" minOccurs="0"/>
                <xsd:element ref="ns2:Onderwerp" minOccurs="0"/>
                <xsd:element ref="ns2:Opmerkingen" minOccurs="0"/>
                <xsd:element ref="ns3:Document_x0020__x0020_Actoren" minOccurs="0"/>
                <xsd:element ref="ns3:H_x0040_W_x0020_Doc_x002e__x0020_nr_x002e_" minOccurs="0"/>
                <xsd:element ref="ns3:Rank_x0020_intranet_x0020_pagina" minOccurs="0"/>
                <xsd:element ref="ns3:Laatste_x0020_oproep_x0020_herziening_x0020_vanuit_x0020_Kwaliteit" minOccurs="0"/>
                <xsd:element ref="ns2:TaxCatchAllLabel" minOccurs="0"/>
                <xsd:element ref="ns2:b84af7d3dc6344419d641c5ac6e2e7e2" minOccurs="0"/>
                <xsd:element ref="ns3:i08fc6447d1b4bd584e7bf00d065594a" minOccurs="0"/>
                <xsd:element ref="ns2:a9be7425d6eb4bbcbe678a4f53592c2f" minOccurs="0"/>
                <xsd:element ref="ns2:TaxCatchAll" minOccurs="0"/>
                <xsd:element ref="ns3:ie733ae1a1894017bc2e9f0198850c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7" nillable="true" ma:displayName="H@W" ma:default="Ja" ma:format="Dropdown" ma:indexed="true" ma:internalName="H_x0040_W">
      <xsd:simpleType>
        <xsd:restriction base="dms:Choice">
          <xsd:enumeration value="?"/>
          <xsd:enumeration value="Ja"/>
          <xsd:enumeration value="Neen"/>
        </xsd:restriction>
      </xsd:simpleType>
    </xsd:element>
    <xsd:element name="OpmerkingenbijH_x0040_W" ma:index="8" nillable="true" ma:displayName="OpmerkingenbijH@W" ma:internalName="OpmerkingenbijH_x0040_W">
      <xsd:simpleType>
        <xsd:restriction base="dms:Note"/>
      </xsd:simpleType>
    </xsd:element>
    <xsd:element name="H_x0040_W_x0020__x002d__x0020_Afprinten_x0020_Manufast" ma:index="9"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10" nillable="true" ma:displayName="Intranet" ma:default="Neen" ma:format="Dropdown" ma:internalName="Intranet">
      <xsd:simpleType>
        <xsd:restriction base="dms:Choice">
          <xsd:enumeration value="?"/>
          <xsd:enumeration value="Ja"/>
          <xsd:enumeration value="Neen"/>
        </xsd:restriction>
      </xsd:simpleType>
    </xsd:element>
    <xsd:element name="Imago" ma:index="11" nillable="true" ma:displayName="Imago" ma:default="Neen" ma:format="Dropdown" ma:internalName="Imago" ma:readOnly="false">
      <xsd:simpleType>
        <xsd:restriction base="dms:Choice">
          <xsd:enumeration value="?"/>
          <xsd:enumeration value="Ja"/>
          <xsd:enumeration value="Neen"/>
        </xsd:restriction>
      </xsd:simpleType>
    </xsd:element>
    <xsd:element name="Andere" ma:index="12"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Documenttype" ma:index="16"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Opmerkingen" ma:index="19" nillable="true" ma:displayName="Opmerkingen" ma:internalName="Opmerkingen">
      <xsd:simpleType>
        <xsd:restriction base="dms:Note">
          <xsd:maxLength value="255"/>
        </xsd:restriction>
      </xsd:simpleType>
    </xsd:element>
    <xsd:element name="TaxCatchAllLabel" ma:index="25"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9"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a9be7425d6eb4bbcbe678a4f53592c2f" ma:index="3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3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6"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7"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Document_x0020__x0020_Actoren" ma:index="20" nillable="true" ma:displayName="Document  Actoren" ma:hidden="true" ma:list="UserInfo" ma:SearchPeopleOnly="false" ma:SharePointGroup="0" ma:internalName="Document_x0020__x0020_Actore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_x0040_W_x0020_Doc_x002e__x0020_nr_x002e_" ma:index="22" nillable="true" ma:displayName="H@W Doc. nr." ma:internalName="H_x0040_W_x0020_Doc_x002e__x0020_nr_x002e_" ma:readOnly="false">
      <xsd:simpleType>
        <xsd:restriction base="dms:Text">
          <xsd:maxLength value="255"/>
        </xsd:restriction>
      </xsd:simpleType>
    </xsd:element>
    <xsd:element name="Rank_x0020_intranet_x0020_pagina" ma:index="23" nillable="true" ma:displayName="Rank intranet pagina" ma:decimals="0" ma:internalName="Rank_x0020_intranet_x0020_pagina">
      <xsd:simpleType>
        <xsd:restriction base="dms:Number"/>
      </xsd:simpleType>
    </xsd:element>
    <xsd:element name="Laatste_x0020_oproep_x0020_herziening_x0020_vanuit_x0020_Kwaliteit" ma:index="24" nillable="true" ma:displayName="Laatste oproep herziening vanuit Kwaliteit" ma:format="DateOnly" ma:internalName="Laatste_x0020_oproep_x0020_herziening_x0020_vanuit_x0020_Kwaliteit">
      <xsd:simpleType>
        <xsd:restriction base="dms:DateTime"/>
      </xsd:simpleType>
    </xsd:element>
    <xsd:element name="i08fc6447d1b4bd584e7bf00d065594a" ma:index="3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3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6C72F-3B0B-42DD-BB6A-1375A74D7E40}">
  <ds:schemaRefs>
    <ds:schemaRef ds:uri="http://purl.org/dc/terms/"/>
    <ds:schemaRef ds:uri="http://schemas.microsoft.com/office/2006/documentManagement/types"/>
    <ds:schemaRef ds:uri="http://schemas.microsoft.com/office/2006/metadata/properties"/>
    <ds:schemaRef ds:uri="cbc68e07-318d-4977-9c6d-10a9e49bd873"/>
    <ds:schemaRef ds:uri="http://purl.org/dc/elements/1.1/"/>
    <ds:schemaRef ds:uri="http://schemas.microsoft.com/office/infopath/2007/PartnerControls"/>
    <ds:schemaRef ds:uri="http://schemas.openxmlformats.org/package/2006/metadata/core-properties"/>
    <ds:schemaRef ds:uri="b12cf2b1-6157-4869-be7f-ac0bc6ac6ec7"/>
    <ds:schemaRef ds:uri="http://www.w3.org/XML/1998/namespace"/>
    <ds:schemaRef ds:uri="http://purl.org/dc/dcmitype/"/>
  </ds:schemaRefs>
</ds:datastoreItem>
</file>

<file path=customXml/itemProps2.xml><?xml version="1.0" encoding="utf-8"?>
<ds:datastoreItem xmlns:ds="http://schemas.openxmlformats.org/officeDocument/2006/customXml" ds:itemID="{E2A24A41-EE77-42CA-8FAF-4038F77653FB}">
  <ds:schemaRefs>
    <ds:schemaRef ds:uri="http://schemas.microsoft.com/sharepoint/v3/contenttype/forms"/>
  </ds:schemaRefs>
</ds:datastoreItem>
</file>

<file path=customXml/itemProps3.xml><?xml version="1.0" encoding="utf-8"?>
<ds:datastoreItem xmlns:ds="http://schemas.openxmlformats.org/officeDocument/2006/customXml" ds:itemID="{01BD572F-985A-41B0-B5E1-5849D4FC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Check-list des obligations DAE</vt:lpstr>
      <vt:lpstr>Departement Medisch Toezicht</vt:lpstr>
    </vt:vector>
  </TitlesOfParts>
  <Company>M.S.R. - Famedi</Company>
  <LinksUpToDate>false</LinksUpToDate>
  <CharactersWithSpaces>3615</CharactersWithSpaces>
  <SharedDoc>false</SharedDoc>
  <HLinks>
    <vt:vector size="30" baseType="variant">
      <vt:variant>
        <vt:i4>1769479</vt:i4>
      </vt:variant>
      <vt:variant>
        <vt:i4>12</vt:i4>
      </vt:variant>
      <vt:variant>
        <vt:i4>0</vt:i4>
      </vt:variant>
      <vt:variant>
        <vt:i4>5</vt:i4>
      </vt:variant>
      <vt:variant>
        <vt:lpwstr>http://www.resuscitation.be/</vt:lpwstr>
      </vt:variant>
      <vt:variant>
        <vt:lpwstr/>
      </vt:variant>
      <vt:variant>
        <vt:i4>3997800</vt:i4>
      </vt:variant>
      <vt:variant>
        <vt:i4>9</vt:i4>
      </vt:variant>
      <vt:variant>
        <vt:i4>0</vt:i4>
      </vt:variant>
      <vt:variant>
        <vt:i4>5</vt:i4>
      </vt:variant>
      <vt:variant>
        <vt:lpwstr>http://www.erc.edu/</vt:lpwstr>
      </vt:variant>
      <vt:variant>
        <vt:lpwstr/>
      </vt:variant>
      <vt:variant>
        <vt:i4>1769479</vt:i4>
      </vt:variant>
      <vt:variant>
        <vt:i4>6</vt:i4>
      </vt:variant>
      <vt:variant>
        <vt:i4>0</vt:i4>
      </vt:variant>
      <vt:variant>
        <vt:i4>5</vt:i4>
      </vt:variant>
      <vt:variant>
        <vt:lpwstr>http://www.resuscitation.be/</vt:lpwstr>
      </vt:variant>
      <vt:variant>
        <vt:lpwstr/>
      </vt:variant>
      <vt:variant>
        <vt:i4>2818098</vt:i4>
      </vt:variant>
      <vt:variant>
        <vt:i4>3</vt:i4>
      </vt:variant>
      <vt:variant>
        <vt:i4>0</vt:i4>
      </vt:variant>
      <vt:variant>
        <vt:i4>5</vt:i4>
      </vt:variant>
      <vt:variant>
        <vt:lpwstr>http://www.er.edu/</vt:lpwstr>
      </vt:variant>
      <vt:variant>
        <vt:lpwstr/>
      </vt:variant>
      <vt:variant>
        <vt:i4>4456537</vt:i4>
      </vt:variant>
      <vt:variant>
        <vt:i4>0</vt:i4>
      </vt:variant>
      <vt:variant>
        <vt:i4>0</vt:i4>
      </vt:variant>
      <vt:variant>
        <vt:i4>5</vt:i4>
      </vt:variant>
      <vt:variant>
        <vt:lpwstr>http://www.health.belgium.be/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des obligations DEA</dc:title>
  <dc:creator>Beyen Kristien</dc:creator>
  <cp:lastModifiedBy>Coopmans Sigrid</cp:lastModifiedBy>
  <cp:revision>8</cp:revision>
  <cp:lastPrinted>2014-05-30T08:17:00Z</cp:lastPrinted>
  <dcterms:created xsi:type="dcterms:W3CDTF">2021-06-07T09:40:00Z</dcterms:created>
  <dcterms:modified xsi:type="dcterms:W3CDTF">2021-06-07T11:56:00Z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56800</vt:r8>
  </property>
  <property fmtid="{D5CDD505-2E9C-101B-9397-08002B2CF9AE}" pid="4" name="xd_ProgID">
    <vt:lpwstr/>
  </property>
  <property fmtid="{D5CDD505-2E9C-101B-9397-08002B2CF9AE}" pid="5" name="TemplateUrl">
    <vt:lpwstr/>
  </property>
  <property fmtid="{D5CDD505-2E9C-101B-9397-08002B2CF9AE}" pid="6" name="TFDocumentUniqueID">
    <vt:lpwstr>104430</vt:lpwstr>
  </property>
  <property fmtid="{D5CDD505-2E9C-101B-9397-08002B2CF9AE}" pid="7" name="Opmerking H@W">
    <vt:lpwstr/>
  </property>
  <property fmtid="{D5CDD505-2E9C-101B-9397-08002B2CF9AE}" pid="8" name="Regio">
    <vt:lpwstr>2;#Algemeen|1f7229b4-089b-4f19-89d4-48330f9c1306</vt:lpwstr>
  </property>
  <property fmtid="{D5CDD505-2E9C-101B-9397-08002B2CF9AE}" pid="9" name="Segmentatie">
    <vt:lpwstr>3;#Algemeen|0561bacb-d94f-4378-bfc7-b274b105ed0a</vt:lpwstr>
  </property>
  <property fmtid="{D5CDD505-2E9C-101B-9397-08002B2CF9AE}" pid="10" name="Proces">
    <vt:lpwstr>32;#Interventies en risico-analyses Gezondheidstoezicht|05358daf-6e99-4c45-997e-0fa373362d22</vt:lpwstr>
  </property>
  <property fmtid="{D5CDD505-2E9C-101B-9397-08002B2CF9AE}" pid="11" name="Footer">
    <vt:lpwstr>OK</vt:lpwstr>
  </property>
  <property fmtid="{D5CDD505-2E9C-101B-9397-08002B2CF9AE}" pid="12" name="Rank">
    <vt:lpwstr>0405 Gestion de risque - Interventions</vt:lpwstr>
  </property>
  <property fmtid="{D5CDD505-2E9C-101B-9397-08002B2CF9AE}" pid="13" name="Procesnr">
    <vt:lpwstr>C0821 Arbeidsgeneeskunde</vt:lpwstr>
  </property>
  <property fmtid="{D5CDD505-2E9C-101B-9397-08002B2CF9AE}" pid="14" name="Logo">
    <vt:lpwstr>Logo 6/6/2014</vt:lpwstr>
  </property>
  <property fmtid="{D5CDD505-2E9C-101B-9397-08002B2CF9AE}" pid="15" name="m0715ad82caf4e879f1d448395fd5e82">
    <vt:lpwstr>Algemeen|0561bacb-d94f-4378-bfc7-b274b105ed0a</vt:lpwstr>
  </property>
  <property fmtid="{D5CDD505-2E9C-101B-9397-08002B2CF9AE}" pid="16" name="Hoofdproces">
    <vt:lpwstr>82;#Dynamisch risicobeheer|aaa6a737-0794-4065-a584-049854f1d1b7</vt:lpwstr>
  </property>
  <property fmtid="{D5CDD505-2E9C-101B-9397-08002B2CF9AE}" pid="17" name="Test gelinkte processen">
    <vt:lpwstr/>
  </property>
</Properties>
</file>